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4662" w14:textId="77777777" w:rsidR="00046060" w:rsidRDefault="00046060">
      <w:pPr>
        <w:pStyle w:val="Sinespaciado"/>
        <w:rPr>
          <w:rFonts w:ascii="Times New Roman" w:eastAsiaTheme="minorEastAsia" w:hAnsi="Times New Roman" w:cs="Times New Roman"/>
          <w:sz w:val="2"/>
          <w:szCs w:val="24"/>
          <w:lang w:val="es-ES_tradnl" w:eastAsia="es-ES"/>
        </w:rPr>
      </w:pPr>
      <w:bookmarkStart w:id="0" w:name="_Hlk49250386"/>
      <w:bookmarkStart w:id="1" w:name="_Toc410402057"/>
      <w:bookmarkStart w:id="2" w:name="_Toc457550818"/>
      <w:bookmarkEnd w:id="0"/>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4866D187" w14:textId="77777777" w:rsidR="00DB22E2" w:rsidRPr="00DB556E" w:rsidRDefault="009A1471">
          <w:pPr>
            <w:pStyle w:val="Sinespaciado"/>
            <w:rPr>
              <w:rFonts w:ascii="Times New Roman" w:hAnsi="Times New Roman" w:cs="Times New Roman"/>
              <w:sz w:val="2"/>
            </w:rPr>
          </w:pPr>
          <w:r w:rsidRPr="00DB556E">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046655F8">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25F5BFB7"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0D34A3">
                                      <w:rPr>
                                        <w:rFonts w:ascii="Times New Roman" w:hAnsi="Times New Roman" w:cs="Times New Roman"/>
                                        <w:b/>
                                        <w:bCs/>
                                        <w:i/>
                                        <w:iCs/>
                                        <w:color w:val="4F81BD" w:themeColor="accent1"/>
                                        <w:sz w:val="36"/>
                                        <w:szCs w:val="36"/>
                                      </w:rPr>
                                      <w:t>Segundo</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25F5BFB7"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0D34A3">
                                <w:rPr>
                                  <w:rFonts w:ascii="Times New Roman" w:hAnsi="Times New Roman" w:cs="Times New Roman"/>
                                  <w:b/>
                                  <w:bCs/>
                                  <w:i/>
                                  <w:iCs/>
                                  <w:color w:val="4F81BD" w:themeColor="accent1"/>
                                  <w:sz w:val="36"/>
                                  <w:szCs w:val="36"/>
                                </w:rPr>
                                <w:t>Segundo</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v:textbox>
                    <w10:wrap anchorx="page" anchory="margin"/>
                  </v:shape>
                </w:pict>
              </mc:Fallback>
            </mc:AlternateContent>
          </w:r>
        </w:p>
        <w:p w14:paraId="7388F779" w14:textId="77777777" w:rsidR="00DB22E2" w:rsidRPr="00DB556E" w:rsidRDefault="00DB22E2" w:rsidP="00CD34D6">
          <w:pPr>
            <w:rPr>
              <w:rFonts w:cs="Times New Roman"/>
            </w:rPr>
          </w:pPr>
          <w:r w:rsidRPr="00DB556E">
            <w:rPr>
              <w:rFonts w:cs="Times New Roman"/>
              <w:noProof/>
              <w:color w:val="4F81BD" w:themeColor="accent1"/>
              <w:sz w:val="36"/>
              <w:szCs w:val="36"/>
              <w:lang w:eastAsia="es-GT"/>
            </w:rPr>
            <mc:AlternateContent>
              <mc:Choice Requires="wpg">
                <w:drawing>
                  <wp:anchor distT="0" distB="0" distL="114300" distR="114300" simplePos="0" relativeHeight="251658241" behindDoc="1" locked="0" layoutInCell="1" allowOverlap="1" wp14:anchorId="05D5122E" wp14:editId="5A272F8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F9EAF70" id="Grupo 2" o:spid="_x0000_s1026"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r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EclJas8BgAAECEAAA4AAAAAAAAAAAAA&#10;AAAALgIAAGRycy9lMm9Eb2MueG1sUEsBAi0AFAAGAAgAAAAhAAog1ILaAAAABQEAAA8AAAAAAAAA&#10;AAAAAAAAlggAAGRycy9kb3ducmV2LnhtbFBLBQYAAAAABAAEAPMAAACdCQ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DB556E">
            <w:rPr>
              <w:rFonts w:cs="Times New Roman"/>
              <w:noProof/>
              <w:lang w:eastAsia="es-GT"/>
            </w:rPr>
            <mc:AlternateContent>
              <mc:Choice Requires="wps">
                <w:drawing>
                  <wp:anchor distT="0" distB="0" distL="114300" distR="114300" simplePos="0" relativeHeight="251658240" behindDoc="0" locked="0" layoutInCell="1" allowOverlap="1" wp14:anchorId="2C570617" wp14:editId="2191751A">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1E6B495C" w14:textId="77777777" w:rsidR="00DB22E2" w:rsidRPr="00DB556E" w:rsidRDefault="009A1471" w:rsidP="00CD34D6">
          <w:pPr>
            <w:spacing w:after="200" w:line="276" w:lineRule="auto"/>
            <w:rPr>
              <w:rFonts w:eastAsiaTheme="majorEastAsia" w:cs="Times New Roman"/>
              <w:b/>
              <w:bCs/>
              <w:color w:val="FF0000"/>
              <w:szCs w:val="26"/>
            </w:rPr>
          </w:pPr>
          <w:r w:rsidRPr="00DB556E">
            <w:rPr>
              <w:rFonts w:eastAsiaTheme="majorEastAsia" w:cs="Times New Roman"/>
              <w:b/>
              <w:bCs/>
              <w:noProof/>
              <w:color w:val="FF0000"/>
              <w:szCs w:val="26"/>
              <w:lang w:eastAsia="es-GT"/>
            </w:rPr>
            <w:drawing>
              <wp:anchor distT="0" distB="0" distL="114300" distR="114300" simplePos="0" relativeHeight="251658243" behindDoc="1" locked="0" layoutInCell="1" allowOverlap="1" wp14:anchorId="405DD89E" wp14:editId="26DDC1D9">
                <wp:simplePos x="0" y="0"/>
                <wp:positionH relativeFrom="margin">
                  <wp:posOffset>1464799</wp:posOffset>
                </wp:positionH>
                <wp:positionV relativeFrom="paragraph">
                  <wp:posOffset>2640917</wp:posOffset>
                </wp:positionV>
                <wp:extent cx="2736653" cy="1242647"/>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653" cy="1242647"/>
                        </a:xfrm>
                        <a:prstGeom prst="rect">
                          <a:avLst/>
                        </a:prstGeom>
                        <a:noFill/>
                      </pic:spPr>
                    </pic:pic>
                  </a:graphicData>
                </a:graphic>
                <wp14:sizeRelH relativeFrom="margin">
                  <wp14:pctWidth>0</wp14:pctWidth>
                </wp14:sizeRelH>
                <wp14:sizeRelV relativeFrom="margin">
                  <wp14:pctHeight>0</wp14:pctHeight>
                </wp14:sizeRelV>
              </wp:anchor>
            </w:drawing>
          </w:r>
          <w:r w:rsidR="00DB22E2" w:rsidRPr="00DB556E">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4EA01E7" w14:textId="77777777" w:rsidR="0032588B" w:rsidRPr="00DB556E" w:rsidRDefault="0032588B" w:rsidP="000D58D6">
          <w:pPr>
            <w:pStyle w:val="TtuloTDC"/>
            <w:jc w:val="center"/>
            <w:rPr>
              <w:rFonts w:ascii="Times New Roman" w:hAnsi="Times New Roman" w:cs="Times New Roman"/>
              <w:color w:val="auto"/>
              <w:sz w:val="24"/>
              <w:szCs w:val="24"/>
              <w:lang w:val="es-ES"/>
            </w:rPr>
          </w:pPr>
          <w:r w:rsidRPr="00DB556E">
            <w:rPr>
              <w:rFonts w:ascii="Times New Roman" w:hAnsi="Times New Roman" w:cs="Times New Roman"/>
              <w:color w:val="auto"/>
              <w:sz w:val="24"/>
              <w:szCs w:val="24"/>
              <w:lang w:val="es-ES"/>
            </w:rPr>
            <w:t>Contenido</w:t>
          </w:r>
        </w:p>
        <w:p w14:paraId="7057A639" w14:textId="77777777" w:rsidR="00F3006C" w:rsidRPr="00DB556E" w:rsidRDefault="00F3006C" w:rsidP="00CD34D6">
          <w:pPr>
            <w:spacing w:line="276" w:lineRule="auto"/>
            <w:rPr>
              <w:rFonts w:cs="Times New Roman"/>
              <w:color w:val="FF0000"/>
              <w:lang w:val="es-ES" w:eastAsia="es-GT"/>
            </w:rPr>
          </w:pPr>
        </w:p>
        <w:p w14:paraId="40E03CC7" w14:textId="6BBFD889" w:rsidR="000C5320" w:rsidRDefault="0032588B">
          <w:pPr>
            <w:pStyle w:val="TDC1"/>
            <w:rPr>
              <w:rFonts w:asciiTheme="minorHAnsi" w:eastAsiaTheme="minorEastAsia" w:hAnsiTheme="minorHAnsi" w:cstheme="minorBidi"/>
              <w:b w:val="0"/>
              <w:bCs w:val="0"/>
              <w:szCs w:val="22"/>
              <w:lang w:eastAsia="es-GT"/>
            </w:rPr>
          </w:pPr>
          <w:r w:rsidRPr="00DB556E">
            <w:rPr>
              <w:color w:val="FF0000"/>
              <w:lang w:val="es-ES_tradnl"/>
            </w:rPr>
            <w:fldChar w:fldCharType="begin"/>
          </w:r>
          <w:r w:rsidRPr="00DB556E">
            <w:rPr>
              <w:color w:val="FF0000"/>
            </w:rPr>
            <w:instrText xml:space="preserve"> TOC \o "1-3" \h \z \u </w:instrText>
          </w:r>
          <w:r w:rsidRPr="00DB556E">
            <w:rPr>
              <w:color w:val="FF0000"/>
              <w:lang w:val="es-ES_tradnl"/>
            </w:rPr>
            <w:fldChar w:fldCharType="separate"/>
          </w:r>
          <w:hyperlink w:anchor="_Toc110237426" w:history="1">
            <w:r w:rsidR="000C5320" w:rsidRPr="004625B4">
              <w:rPr>
                <w:rStyle w:val="Hipervnculo"/>
                <w:lang w:val="es-ES_tradnl"/>
              </w:rPr>
              <w:t>Introducción</w:t>
            </w:r>
            <w:r w:rsidR="000C5320">
              <w:rPr>
                <w:webHidden/>
              </w:rPr>
              <w:tab/>
            </w:r>
            <w:r w:rsidR="000C5320">
              <w:rPr>
                <w:webHidden/>
              </w:rPr>
              <w:fldChar w:fldCharType="begin"/>
            </w:r>
            <w:r w:rsidR="000C5320">
              <w:rPr>
                <w:webHidden/>
              </w:rPr>
              <w:instrText xml:space="preserve"> PAGEREF _Toc110237426 \h </w:instrText>
            </w:r>
            <w:r w:rsidR="000C5320">
              <w:rPr>
                <w:webHidden/>
              </w:rPr>
            </w:r>
            <w:r w:rsidR="000C5320">
              <w:rPr>
                <w:webHidden/>
              </w:rPr>
              <w:fldChar w:fldCharType="separate"/>
            </w:r>
            <w:r w:rsidR="00657611">
              <w:rPr>
                <w:webHidden/>
              </w:rPr>
              <w:t>2</w:t>
            </w:r>
            <w:r w:rsidR="000C5320">
              <w:rPr>
                <w:webHidden/>
              </w:rPr>
              <w:fldChar w:fldCharType="end"/>
            </w:r>
          </w:hyperlink>
        </w:p>
        <w:p w14:paraId="7588670C" w14:textId="42276B9A" w:rsidR="000C5320" w:rsidRDefault="00000000">
          <w:pPr>
            <w:pStyle w:val="TDC1"/>
            <w:rPr>
              <w:rFonts w:asciiTheme="minorHAnsi" w:eastAsiaTheme="minorEastAsia" w:hAnsiTheme="minorHAnsi" w:cstheme="minorBidi"/>
              <w:b w:val="0"/>
              <w:bCs w:val="0"/>
              <w:szCs w:val="22"/>
              <w:lang w:eastAsia="es-GT"/>
            </w:rPr>
          </w:pPr>
          <w:hyperlink w:anchor="_Toc110237427" w:history="1">
            <w:r w:rsidR="000C5320" w:rsidRPr="004625B4">
              <w:rPr>
                <w:rStyle w:val="Hipervnculo"/>
                <w:lang w:val="es-ES_tradnl"/>
              </w:rPr>
              <w:t>I.</w:t>
            </w:r>
            <w:r w:rsidR="000C5320">
              <w:rPr>
                <w:rFonts w:asciiTheme="minorHAnsi" w:eastAsiaTheme="minorEastAsia" w:hAnsiTheme="minorHAnsi" w:cstheme="minorBidi"/>
                <w:b w:val="0"/>
                <w:bCs w:val="0"/>
                <w:szCs w:val="22"/>
                <w:lang w:eastAsia="es-GT"/>
              </w:rPr>
              <w:tab/>
            </w:r>
            <w:r w:rsidR="000C5320" w:rsidRPr="004625B4">
              <w:rPr>
                <w:rStyle w:val="Hipervnculo"/>
                <w:lang w:val="es-ES_tradnl"/>
              </w:rPr>
              <w:t>Ingresos del Gobierno Central Presupuestario</w:t>
            </w:r>
            <w:r w:rsidR="000C5320">
              <w:rPr>
                <w:webHidden/>
              </w:rPr>
              <w:tab/>
            </w:r>
            <w:r w:rsidR="000C5320">
              <w:rPr>
                <w:webHidden/>
              </w:rPr>
              <w:fldChar w:fldCharType="begin"/>
            </w:r>
            <w:r w:rsidR="000C5320">
              <w:rPr>
                <w:webHidden/>
              </w:rPr>
              <w:instrText xml:space="preserve"> PAGEREF _Toc110237427 \h </w:instrText>
            </w:r>
            <w:r w:rsidR="000C5320">
              <w:rPr>
                <w:webHidden/>
              </w:rPr>
            </w:r>
            <w:r w:rsidR="000C5320">
              <w:rPr>
                <w:webHidden/>
              </w:rPr>
              <w:fldChar w:fldCharType="separate"/>
            </w:r>
            <w:r w:rsidR="00657611">
              <w:rPr>
                <w:webHidden/>
              </w:rPr>
              <w:t>2</w:t>
            </w:r>
            <w:r w:rsidR="000C5320">
              <w:rPr>
                <w:webHidden/>
              </w:rPr>
              <w:fldChar w:fldCharType="end"/>
            </w:r>
          </w:hyperlink>
        </w:p>
        <w:p w14:paraId="0CE61F83" w14:textId="2E212398" w:rsidR="000C5320" w:rsidRDefault="00000000">
          <w:pPr>
            <w:pStyle w:val="TDC2"/>
            <w:rPr>
              <w:rFonts w:asciiTheme="minorHAnsi" w:hAnsiTheme="minorHAnsi"/>
              <w:noProof/>
              <w:szCs w:val="22"/>
              <w:lang w:eastAsia="es-GT"/>
            </w:rPr>
          </w:pPr>
          <w:hyperlink w:anchor="_Toc110237428" w:history="1">
            <w:r w:rsidR="000C5320" w:rsidRPr="004625B4">
              <w:rPr>
                <w:rStyle w:val="Hipervnculo"/>
                <w:rFonts w:cs="Times New Roman"/>
                <w:noProof/>
              </w:rPr>
              <w:t>1.1</w:t>
            </w:r>
            <w:r w:rsidR="000C5320">
              <w:rPr>
                <w:rFonts w:asciiTheme="minorHAnsi" w:hAnsiTheme="minorHAnsi"/>
                <w:noProof/>
                <w:szCs w:val="22"/>
                <w:lang w:eastAsia="es-GT"/>
              </w:rPr>
              <w:tab/>
            </w:r>
            <w:r w:rsidR="000C5320" w:rsidRPr="004625B4">
              <w:rPr>
                <w:rStyle w:val="Hipervnculo"/>
                <w:rFonts w:cs="Times New Roman"/>
                <w:noProof/>
              </w:rPr>
              <w:t>El comportamiento de los ingresos es positivo</w:t>
            </w:r>
            <w:r w:rsidR="000C5320">
              <w:rPr>
                <w:noProof/>
                <w:webHidden/>
              </w:rPr>
              <w:tab/>
            </w:r>
            <w:r w:rsidR="000C5320">
              <w:rPr>
                <w:noProof/>
                <w:webHidden/>
              </w:rPr>
              <w:fldChar w:fldCharType="begin"/>
            </w:r>
            <w:r w:rsidR="000C5320">
              <w:rPr>
                <w:noProof/>
                <w:webHidden/>
              </w:rPr>
              <w:instrText xml:space="preserve"> PAGEREF _Toc110237428 \h </w:instrText>
            </w:r>
            <w:r w:rsidR="000C5320">
              <w:rPr>
                <w:noProof/>
                <w:webHidden/>
              </w:rPr>
            </w:r>
            <w:r w:rsidR="000C5320">
              <w:rPr>
                <w:noProof/>
                <w:webHidden/>
              </w:rPr>
              <w:fldChar w:fldCharType="separate"/>
            </w:r>
            <w:r w:rsidR="00657611">
              <w:rPr>
                <w:noProof/>
                <w:webHidden/>
              </w:rPr>
              <w:t>2</w:t>
            </w:r>
            <w:r w:rsidR="000C5320">
              <w:rPr>
                <w:noProof/>
                <w:webHidden/>
              </w:rPr>
              <w:fldChar w:fldCharType="end"/>
            </w:r>
          </w:hyperlink>
        </w:p>
        <w:p w14:paraId="7353AAA5" w14:textId="0B0D1CC8" w:rsidR="000C5320" w:rsidRDefault="00000000">
          <w:pPr>
            <w:pStyle w:val="TDC2"/>
            <w:rPr>
              <w:rFonts w:asciiTheme="minorHAnsi" w:hAnsiTheme="minorHAnsi"/>
              <w:noProof/>
              <w:szCs w:val="22"/>
              <w:lang w:eastAsia="es-GT"/>
            </w:rPr>
          </w:pPr>
          <w:hyperlink w:anchor="_Toc110237429" w:history="1">
            <w:r w:rsidR="000C5320" w:rsidRPr="004625B4">
              <w:rPr>
                <w:rStyle w:val="Hipervnculo"/>
                <w:rFonts w:cs="Times New Roman"/>
                <w:noProof/>
              </w:rPr>
              <w:t>1.2</w:t>
            </w:r>
            <w:r w:rsidR="000C5320">
              <w:rPr>
                <w:rFonts w:asciiTheme="minorHAnsi" w:hAnsiTheme="minorHAnsi"/>
                <w:noProof/>
                <w:szCs w:val="22"/>
                <w:lang w:eastAsia="es-GT"/>
              </w:rPr>
              <w:tab/>
            </w:r>
            <w:r w:rsidR="000C5320" w:rsidRPr="004625B4">
              <w:rPr>
                <w:rStyle w:val="Hipervnculo"/>
                <w:rFonts w:cs="Times New Roman"/>
                <w:noProof/>
              </w:rPr>
              <w:t>Los impuestos continúan con su buen dinamismo</w:t>
            </w:r>
            <w:r w:rsidR="000C5320">
              <w:rPr>
                <w:noProof/>
                <w:webHidden/>
              </w:rPr>
              <w:tab/>
            </w:r>
            <w:r w:rsidR="000C5320">
              <w:rPr>
                <w:noProof/>
                <w:webHidden/>
              </w:rPr>
              <w:fldChar w:fldCharType="begin"/>
            </w:r>
            <w:r w:rsidR="000C5320">
              <w:rPr>
                <w:noProof/>
                <w:webHidden/>
              </w:rPr>
              <w:instrText xml:space="preserve"> PAGEREF _Toc110237429 \h </w:instrText>
            </w:r>
            <w:r w:rsidR="000C5320">
              <w:rPr>
                <w:noProof/>
                <w:webHidden/>
              </w:rPr>
            </w:r>
            <w:r w:rsidR="000C5320">
              <w:rPr>
                <w:noProof/>
                <w:webHidden/>
              </w:rPr>
              <w:fldChar w:fldCharType="separate"/>
            </w:r>
            <w:r w:rsidR="00657611">
              <w:rPr>
                <w:noProof/>
                <w:webHidden/>
              </w:rPr>
              <w:t>3</w:t>
            </w:r>
            <w:r w:rsidR="000C5320">
              <w:rPr>
                <w:noProof/>
                <w:webHidden/>
              </w:rPr>
              <w:fldChar w:fldCharType="end"/>
            </w:r>
          </w:hyperlink>
        </w:p>
        <w:p w14:paraId="6BC675C6" w14:textId="0FE30D13" w:rsidR="000C5320" w:rsidRDefault="00000000">
          <w:pPr>
            <w:pStyle w:val="TDC1"/>
            <w:rPr>
              <w:rFonts w:asciiTheme="minorHAnsi" w:eastAsiaTheme="minorEastAsia" w:hAnsiTheme="minorHAnsi" w:cstheme="minorBidi"/>
              <w:b w:val="0"/>
              <w:bCs w:val="0"/>
              <w:szCs w:val="22"/>
              <w:lang w:eastAsia="es-GT"/>
            </w:rPr>
          </w:pPr>
          <w:hyperlink w:anchor="_Toc110237433" w:history="1">
            <w:r w:rsidR="000C5320" w:rsidRPr="004625B4">
              <w:rPr>
                <w:rStyle w:val="Hipervnculo"/>
                <w:lang w:val="es-ES_tradnl"/>
              </w:rPr>
              <w:t>II.</w:t>
            </w:r>
            <w:r w:rsidR="000C5320">
              <w:rPr>
                <w:rFonts w:asciiTheme="minorHAnsi" w:eastAsiaTheme="minorEastAsia" w:hAnsiTheme="minorHAnsi" w:cstheme="minorBidi"/>
                <w:b w:val="0"/>
                <w:bCs w:val="0"/>
                <w:szCs w:val="22"/>
                <w:lang w:eastAsia="es-GT"/>
              </w:rPr>
              <w:tab/>
            </w:r>
            <w:r w:rsidR="000C5320" w:rsidRPr="004625B4">
              <w:rPr>
                <w:rStyle w:val="Hipervnculo"/>
                <w:lang w:val="es-ES_tradnl"/>
              </w:rPr>
              <w:t>Gasto Público del Gobierno Central Presupuestario</w:t>
            </w:r>
            <w:r w:rsidR="000C5320">
              <w:rPr>
                <w:webHidden/>
              </w:rPr>
              <w:tab/>
            </w:r>
            <w:r w:rsidR="000C5320">
              <w:rPr>
                <w:webHidden/>
              </w:rPr>
              <w:fldChar w:fldCharType="begin"/>
            </w:r>
            <w:r w:rsidR="000C5320">
              <w:rPr>
                <w:webHidden/>
              </w:rPr>
              <w:instrText xml:space="preserve"> PAGEREF _Toc110237433 \h </w:instrText>
            </w:r>
            <w:r w:rsidR="000C5320">
              <w:rPr>
                <w:webHidden/>
              </w:rPr>
            </w:r>
            <w:r w:rsidR="000C5320">
              <w:rPr>
                <w:webHidden/>
              </w:rPr>
              <w:fldChar w:fldCharType="separate"/>
            </w:r>
            <w:r w:rsidR="00657611">
              <w:rPr>
                <w:webHidden/>
              </w:rPr>
              <w:t>4</w:t>
            </w:r>
            <w:r w:rsidR="000C5320">
              <w:rPr>
                <w:webHidden/>
              </w:rPr>
              <w:fldChar w:fldCharType="end"/>
            </w:r>
          </w:hyperlink>
        </w:p>
        <w:p w14:paraId="37A11442" w14:textId="0EC5C51E" w:rsidR="000C5320" w:rsidRDefault="00000000">
          <w:pPr>
            <w:pStyle w:val="TDC2"/>
            <w:rPr>
              <w:rFonts w:asciiTheme="minorHAnsi" w:hAnsiTheme="minorHAnsi"/>
              <w:noProof/>
              <w:szCs w:val="22"/>
              <w:lang w:eastAsia="es-GT"/>
            </w:rPr>
          </w:pPr>
          <w:hyperlink w:anchor="_Toc110237436" w:history="1">
            <w:r w:rsidR="000C5320" w:rsidRPr="004625B4">
              <w:rPr>
                <w:rStyle w:val="Hipervnculo"/>
                <w:rFonts w:cs="Times New Roman"/>
                <w:noProof/>
              </w:rPr>
              <w:t>2.1</w:t>
            </w:r>
            <w:r w:rsidR="000C5320">
              <w:rPr>
                <w:rFonts w:asciiTheme="minorHAnsi" w:hAnsiTheme="minorHAnsi"/>
                <w:noProof/>
                <w:szCs w:val="22"/>
                <w:lang w:eastAsia="es-GT"/>
              </w:rPr>
              <w:tab/>
            </w:r>
            <w:r w:rsidR="000C5320" w:rsidRPr="004625B4">
              <w:rPr>
                <w:rStyle w:val="Hipervnculo"/>
                <w:rFonts w:cs="Times New Roman"/>
                <w:noProof/>
              </w:rPr>
              <w:t>El gasto público continúa mostrando un alto dinamismo</w:t>
            </w:r>
            <w:r w:rsidR="000C5320">
              <w:rPr>
                <w:noProof/>
                <w:webHidden/>
              </w:rPr>
              <w:tab/>
            </w:r>
            <w:r w:rsidR="000C5320">
              <w:rPr>
                <w:noProof/>
                <w:webHidden/>
              </w:rPr>
              <w:fldChar w:fldCharType="begin"/>
            </w:r>
            <w:r w:rsidR="000C5320">
              <w:rPr>
                <w:noProof/>
                <w:webHidden/>
              </w:rPr>
              <w:instrText xml:space="preserve"> PAGEREF _Toc110237436 \h </w:instrText>
            </w:r>
            <w:r w:rsidR="000C5320">
              <w:rPr>
                <w:noProof/>
                <w:webHidden/>
              </w:rPr>
            </w:r>
            <w:r w:rsidR="000C5320">
              <w:rPr>
                <w:noProof/>
                <w:webHidden/>
              </w:rPr>
              <w:fldChar w:fldCharType="separate"/>
            </w:r>
            <w:r w:rsidR="00657611">
              <w:rPr>
                <w:noProof/>
                <w:webHidden/>
              </w:rPr>
              <w:t>4</w:t>
            </w:r>
            <w:r w:rsidR="000C5320">
              <w:rPr>
                <w:noProof/>
                <w:webHidden/>
              </w:rPr>
              <w:fldChar w:fldCharType="end"/>
            </w:r>
          </w:hyperlink>
        </w:p>
        <w:p w14:paraId="3992EE09" w14:textId="13205B54" w:rsidR="000C5320" w:rsidRDefault="00000000">
          <w:pPr>
            <w:pStyle w:val="TDC1"/>
            <w:rPr>
              <w:rFonts w:asciiTheme="minorHAnsi" w:eastAsiaTheme="minorEastAsia" w:hAnsiTheme="minorHAnsi" w:cstheme="minorBidi"/>
              <w:b w:val="0"/>
              <w:bCs w:val="0"/>
              <w:szCs w:val="22"/>
              <w:lang w:eastAsia="es-GT"/>
            </w:rPr>
          </w:pPr>
          <w:hyperlink w:anchor="_Toc110237437" w:history="1">
            <w:r w:rsidR="000C5320" w:rsidRPr="004625B4">
              <w:rPr>
                <w:rStyle w:val="Hipervnculo"/>
                <w:lang w:val="es-MX"/>
              </w:rPr>
              <w:t>III.</w:t>
            </w:r>
            <w:r w:rsidR="000C5320">
              <w:rPr>
                <w:rFonts w:asciiTheme="minorHAnsi" w:eastAsiaTheme="minorEastAsia" w:hAnsiTheme="minorHAnsi" w:cstheme="minorBidi"/>
                <w:b w:val="0"/>
                <w:bCs w:val="0"/>
                <w:szCs w:val="22"/>
                <w:lang w:eastAsia="es-GT"/>
              </w:rPr>
              <w:tab/>
            </w:r>
            <w:r w:rsidR="000C5320" w:rsidRPr="004625B4">
              <w:rPr>
                <w:rStyle w:val="Hipervnculo"/>
                <w:lang w:val="es-MX"/>
              </w:rPr>
              <w:t>Transacciones en Activos No Financieros</w:t>
            </w:r>
            <w:r w:rsidR="000C5320">
              <w:rPr>
                <w:webHidden/>
              </w:rPr>
              <w:tab/>
            </w:r>
            <w:r w:rsidR="000C5320">
              <w:rPr>
                <w:webHidden/>
              </w:rPr>
              <w:fldChar w:fldCharType="begin"/>
            </w:r>
            <w:r w:rsidR="000C5320">
              <w:rPr>
                <w:webHidden/>
              </w:rPr>
              <w:instrText xml:space="preserve"> PAGEREF _Toc110237437 \h </w:instrText>
            </w:r>
            <w:r w:rsidR="000C5320">
              <w:rPr>
                <w:webHidden/>
              </w:rPr>
            </w:r>
            <w:r w:rsidR="000C5320">
              <w:rPr>
                <w:webHidden/>
              </w:rPr>
              <w:fldChar w:fldCharType="separate"/>
            </w:r>
            <w:r w:rsidR="00657611">
              <w:rPr>
                <w:webHidden/>
              </w:rPr>
              <w:t>5</w:t>
            </w:r>
            <w:r w:rsidR="000C5320">
              <w:rPr>
                <w:webHidden/>
              </w:rPr>
              <w:fldChar w:fldCharType="end"/>
            </w:r>
          </w:hyperlink>
        </w:p>
        <w:p w14:paraId="54C2A2BD" w14:textId="0158D3BE" w:rsidR="000C5320" w:rsidRDefault="00000000">
          <w:pPr>
            <w:pStyle w:val="TDC2"/>
            <w:rPr>
              <w:rFonts w:asciiTheme="minorHAnsi" w:hAnsiTheme="minorHAnsi"/>
              <w:noProof/>
              <w:szCs w:val="22"/>
              <w:lang w:eastAsia="es-GT"/>
            </w:rPr>
          </w:pPr>
          <w:hyperlink w:anchor="_Toc110237439" w:history="1">
            <w:r w:rsidR="000C5320" w:rsidRPr="004625B4">
              <w:rPr>
                <w:rStyle w:val="Hipervnculo"/>
                <w:rFonts w:cs="Times New Roman"/>
                <w:noProof/>
              </w:rPr>
              <w:t>3.1</w:t>
            </w:r>
            <w:r w:rsidR="000C5320">
              <w:rPr>
                <w:rFonts w:asciiTheme="minorHAnsi" w:hAnsiTheme="minorHAnsi"/>
                <w:noProof/>
                <w:szCs w:val="22"/>
                <w:lang w:eastAsia="es-GT"/>
              </w:rPr>
              <w:tab/>
            </w:r>
            <w:r w:rsidR="000C5320" w:rsidRPr="004625B4">
              <w:rPr>
                <w:rStyle w:val="Hipervnculo"/>
                <w:rFonts w:cs="Times New Roman"/>
                <w:noProof/>
              </w:rPr>
              <w:t>La inversión es más alta en 2022 respecto a 2021</w:t>
            </w:r>
            <w:r w:rsidR="000C5320">
              <w:rPr>
                <w:noProof/>
                <w:webHidden/>
              </w:rPr>
              <w:tab/>
            </w:r>
            <w:r w:rsidR="000C5320">
              <w:rPr>
                <w:noProof/>
                <w:webHidden/>
              </w:rPr>
              <w:fldChar w:fldCharType="begin"/>
            </w:r>
            <w:r w:rsidR="000C5320">
              <w:rPr>
                <w:noProof/>
                <w:webHidden/>
              </w:rPr>
              <w:instrText xml:space="preserve"> PAGEREF _Toc110237439 \h </w:instrText>
            </w:r>
            <w:r w:rsidR="000C5320">
              <w:rPr>
                <w:noProof/>
                <w:webHidden/>
              </w:rPr>
            </w:r>
            <w:r w:rsidR="000C5320">
              <w:rPr>
                <w:noProof/>
                <w:webHidden/>
              </w:rPr>
              <w:fldChar w:fldCharType="separate"/>
            </w:r>
            <w:r w:rsidR="00657611">
              <w:rPr>
                <w:noProof/>
                <w:webHidden/>
              </w:rPr>
              <w:t>5</w:t>
            </w:r>
            <w:r w:rsidR="000C5320">
              <w:rPr>
                <w:noProof/>
                <w:webHidden/>
              </w:rPr>
              <w:fldChar w:fldCharType="end"/>
            </w:r>
          </w:hyperlink>
        </w:p>
        <w:p w14:paraId="49EA13D6" w14:textId="242A724C" w:rsidR="000C5320" w:rsidRDefault="00000000">
          <w:pPr>
            <w:pStyle w:val="TDC1"/>
            <w:rPr>
              <w:rFonts w:asciiTheme="minorHAnsi" w:eastAsiaTheme="minorEastAsia" w:hAnsiTheme="minorHAnsi" w:cstheme="minorBidi"/>
              <w:b w:val="0"/>
              <w:bCs w:val="0"/>
              <w:szCs w:val="22"/>
              <w:lang w:eastAsia="es-GT"/>
            </w:rPr>
          </w:pPr>
          <w:hyperlink w:anchor="_Toc110237440" w:history="1">
            <w:r w:rsidR="000C5320" w:rsidRPr="004625B4">
              <w:rPr>
                <w:rStyle w:val="Hipervnculo"/>
                <w:lang w:val="es-MX"/>
              </w:rPr>
              <w:t>IV.</w:t>
            </w:r>
            <w:r w:rsidR="000C5320">
              <w:rPr>
                <w:rFonts w:asciiTheme="minorHAnsi" w:eastAsiaTheme="minorEastAsia" w:hAnsiTheme="minorHAnsi" w:cstheme="minorBidi"/>
                <w:b w:val="0"/>
                <w:bCs w:val="0"/>
                <w:szCs w:val="22"/>
                <w:lang w:eastAsia="es-GT"/>
              </w:rPr>
              <w:tab/>
            </w:r>
            <w:r w:rsidR="000C5320" w:rsidRPr="004625B4">
              <w:rPr>
                <w:rStyle w:val="Hipervnculo"/>
                <w:lang w:val="es-MX"/>
              </w:rPr>
              <w:t>Financiamiento</w:t>
            </w:r>
            <w:r w:rsidR="000C5320">
              <w:rPr>
                <w:webHidden/>
              </w:rPr>
              <w:tab/>
            </w:r>
            <w:r w:rsidR="000C5320">
              <w:rPr>
                <w:webHidden/>
              </w:rPr>
              <w:fldChar w:fldCharType="begin"/>
            </w:r>
            <w:r w:rsidR="000C5320">
              <w:rPr>
                <w:webHidden/>
              </w:rPr>
              <w:instrText xml:space="preserve"> PAGEREF _Toc110237440 \h </w:instrText>
            </w:r>
            <w:r w:rsidR="000C5320">
              <w:rPr>
                <w:webHidden/>
              </w:rPr>
            </w:r>
            <w:r w:rsidR="000C5320">
              <w:rPr>
                <w:webHidden/>
              </w:rPr>
              <w:fldChar w:fldCharType="separate"/>
            </w:r>
            <w:r w:rsidR="00657611">
              <w:rPr>
                <w:webHidden/>
              </w:rPr>
              <w:t>6</w:t>
            </w:r>
            <w:r w:rsidR="000C5320">
              <w:rPr>
                <w:webHidden/>
              </w:rPr>
              <w:fldChar w:fldCharType="end"/>
            </w:r>
          </w:hyperlink>
        </w:p>
        <w:p w14:paraId="3407D727" w14:textId="52BD37E0" w:rsidR="000C5320" w:rsidRDefault="00000000">
          <w:pPr>
            <w:pStyle w:val="TDC2"/>
            <w:rPr>
              <w:rFonts w:asciiTheme="minorHAnsi" w:hAnsiTheme="minorHAnsi"/>
              <w:noProof/>
              <w:szCs w:val="22"/>
              <w:lang w:eastAsia="es-GT"/>
            </w:rPr>
          </w:pPr>
          <w:hyperlink w:anchor="_Toc110237442" w:history="1">
            <w:r w:rsidR="000C5320" w:rsidRPr="004625B4">
              <w:rPr>
                <w:rStyle w:val="Hipervnculo"/>
                <w:rFonts w:cs="Times New Roman"/>
                <w:noProof/>
              </w:rPr>
              <w:t>4.1</w:t>
            </w:r>
            <w:r w:rsidR="000C5320">
              <w:rPr>
                <w:rFonts w:asciiTheme="minorHAnsi" w:hAnsiTheme="minorHAnsi"/>
                <w:noProof/>
                <w:szCs w:val="22"/>
                <w:lang w:eastAsia="es-GT"/>
              </w:rPr>
              <w:tab/>
            </w:r>
            <w:r w:rsidR="000C5320" w:rsidRPr="004625B4">
              <w:rPr>
                <w:rStyle w:val="Hipervnculo"/>
                <w:rFonts w:cs="Times New Roman"/>
                <w:noProof/>
              </w:rPr>
              <w:t>Se redujo la disponibilidad de billetes, monedas y depósitos.</w:t>
            </w:r>
            <w:r w:rsidR="000C5320">
              <w:rPr>
                <w:noProof/>
                <w:webHidden/>
              </w:rPr>
              <w:tab/>
            </w:r>
            <w:r w:rsidR="000C5320">
              <w:rPr>
                <w:noProof/>
                <w:webHidden/>
              </w:rPr>
              <w:fldChar w:fldCharType="begin"/>
            </w:r>
            <w:r w:rsidR="000C5320">
              <w:rPr>
                <w:noProof/>
                <w:webHidden/>
              </w:rPr>
              <w:instrText xml:space="preserve"> PAGEREF _Toc110237442 \h </w:instrText>
            </w:r>
            <w:r w:rsidR="000C5320">
              <w:rPr>
                <w:noProof/>
                <w:webHidden/>
              </w:rPr>
            </w:r>
            <w:r w:rsidR="000C5320">
              <w:rPr>
                <w:noProof/>
                <w:webHidden/>
              </w:rPr>
              <w:fldChar w:fldCharType="separate"/>
            </w:r>
            <w:r w:rsidR="00657611">
              <w:rPr>
                <w:noProof/>
                <w:webHidden/>
              </w:rPr>
              <w:t>6</w:t>
            </w:r>
            <w:r w:rsidR="000C5320">
              <w:rPr>
                <w:noProof/>
                <w:webHidden/>
              </w:rPr>
              <w:fldChar w:fldCharType="end"/>
            </w:r>
          </w:hyperlink>
        </w:p>
        <w:p w14:paraId="2BD5C7EA" w14:textId="10863794" w:rsidR="000C5320" w:rsidRDefault="00000000">
          <w:pPr>
            <w:pStyle w:val="TDC2"/>
            <w:rPr>
              <w:rFonts w:asciiTheme="minorHAnsi" w:hAnsiTheme="minorHAnsi"/>
              <w:noProof/>
              <w:szCs w:val="22"/>
              <w:lang w:eastAsia="es-GT"/>
            </w:rPr>
          </w:pPr>
          <w:hyperlink w:anchor="_Toc110237443" w:history="1">
            <w:r w:rsidR="000C5320" w:rsidRPr="004625B4">
              <w:rPr>
                <w:rStyle w:val="Hipervnculo"/>
                <w:rFonts w:cs="Times New Roman"/>
                <w:noProof/>
              </w:rPr>
              <w:t>4.2</w:t>
            </w:r>
            <w:r w:rsidR="000C5320">
              <w:rPr>
                <w:rFonts w:asciiTheme="minorHAnsi" w:hAnsiTheme="minorHAnsi"/>
                <w:noProof/>
                <w:szCs w:val="22"/>
                <w:lang w:eastAsia="es-GT"/>
              </w:rPr>
              <w:tab/>
            </w:r>
            <w:r w:rsidR="000C5320" w:rsidRPr="004625B4">
              <w:rPr>
                <w:rStyle w:val="Hipervnculo"/>
                <w:rFonts w:cs="Times New Roman"/>
                <w:noProof/>
              </w:rPr>
              <w:t>Uso de pasivos como fuente de financiamiento</w:t>
            </w:r>
            <w:r w:rsidR="000C5320">
              <w:rPr>
                <w:noProof/>
                <w:webHidden/>
              </w:rPr>
              <w:tab/>
            </w:r>
            <w:r w:rsidR="000C5320">
              <w:rPr>
                <w:noProof/>
                <w:webHidden/>
              </w:rPr>
              <w:fldChar w:fldCharType="begin"/>
            </w:r>
            <w:r w:rsidR="000C5320">
              <w:rPr>
                <w:noProof/>
                <w:webHidden/>
              </w:rPr>
              <w:instrText xml:space="preserve"> PAGEREF _Toc110237443 \h </w:instrText>
            </w:r>
            <w:r w:rsidR="000C5320">
              <w:rPr>
                <w:noProof/>
                <w:webHidden/>
              </w:rPr>
            </w:r>
            <w:r w:rsidR="000C5320">
              <w:rPr>
                <w:noProof/>
                <w:webHidden/>
              </w:rPr>
              <w:fldChar w:fldCharType="separate"/>
            </w:r>
            <w:r w:rsidR="00657611">
              <w:rPr>
                <w:noProof/>
                <w:webHidden/>
              </w:rPr>
              <w:t>6</w:t>
            </w:r>
            <w:r w:rsidR="000C5320">
              <w:rPr>
                <w:noProof/>
                <w:webHidden/>
              </w:rPr>
              <w:fldChar w:fldCharType="end"/>
            </w:r>
          </w:hyperlink>
        </w:p>
        <w:p w14:paraId="43632031" w14:textId="3CCAEC34" w:rsidR="000C5320" w:rsidRDefault="00000000">
          <w:pPr>
            <w:pStyle w:val="TDC1"/>
            <w:rPr>
              <w:rFonts w:asciiTheme="minorHAnsi" w:eastAsiaTheme="minorEastAsia" w:hAnsiTheme="minorHAnsi" w:cstheme="minorBidi"/>
              <w:b w:val="0"/>
              <w:bCs w:val="0"/>
              <w:szCs w:val="22"/>
              <w:lang w:eastAsia="es-GT"/>
            </w:rPr>
          </w:pPr>
          <w:hyperlink w:anchor="_Toc110237444" w:history="1">
            <w:r w:rsidR="000C5320" w:rsidRPr="004625B4">
              <w:rPr>
                <w:rStyle w:val="Hipervnculo"/>
                <w:lang w:val="es-ES_tradnl"/>
              </w:rPr>
              <w:t>V.</w:t>
            </w:r>
            <w:r w:rsidR="000C5320">
              <w:rPr>
                <w:rFonts w:asciiTheme="minorHAnsi" w:eastAsiaTheme="minorEastAsia" w:hAnsiTheme="minorHAnsi" w:cstheme="minorBidi"/>
                <w:b w:val="0"/>
                <w:bCs w:val="0"/>
                <w:szCs w:val="22"/>
                <w:lang w:eastAsia="es-GT"/>
              </w:rPr>
              <w:tab/>
            </w:r>
            <w:r w:rsidR="000C5320" w:rsidRPr="004625B4">
              <w:rPr>
                <w:rStyle w:val="Hipervnculo"/>
                <w:lang w:val="es-ES_tradnl"/>
              </w:rPr>
              <w:t>Erogaciones del Gobierno Central Presupuestario</w:t>
            </w:r>
            <w:r w:rsidR="000C5320">
              <w:rPr>
                <w:webHidden/>
              </w:rPr>
              <w:tab/>
            </w:r>
            <w:r w:rsidR="000C5320">
              <w:rPr>
                <w:webHidden/>
              </w:rPr>
              <w:fldChar w:fldCharType="begin"/>
            </w:r>
            <w:r w:rsidR="000C5320">
              <w:rPr>
                <w:webHidden/>
              </w:rPr>
              <w:instrText xml:space="preserve"> PAGEREF _Toc110237444 \h </w:instrText>
            </w:r>
            <w:r w:rsidR="000C5320">
              <w:rPr>
                <w:webHidden/>
              </w:rPr>
            </w:r>
            <w:r w:rsidR="000C5320">
              <w:rPr>
                <w:webHidden/>
              </w:rPr>
              <w:fldChar w:fldCharType="separate"/>
            </w:r>
            <w:r w:rsidR="00657611">
              <w:rPr>
                <w:webHidden/>
              </w:rPr>
              <w:t>7</w:t>
            </w:r>
            <w:r w:rsidR="000C5320">
              <w:rPr>
                <w:webHidden/>
              </w:rPr>
              <w:fldChar w:fldCharType="end"/>
            </w:r>
          </w:hyperlink>
        </w:p>
        <w:p w14:paraId="4CD6DCE1" w14:textId="23644287" w:rsidR="000C5320" w:rsidRDefault="00000000">
          <w:pPr>
            <w:pStyle w:val="TDC2"/>
            <w:rPr>
              <w:rFonts w:asciiTheme="minorHAnsi" w:hAnsiTheme="minorHAnsi"/>
              <w:noProof/>
              <w:szCs w:val="22"/>
              <w:lang w:eastAsia="es-GT"/>
            </w:rPr>
          </w:pPr>
          <w:hyperlink w:anchor="_Toc110237451" w:history="1">
            <w:r w:rsidR="000C5320" w:rsidRPr="004625B4">
              <w:rPr>
                <w:rStyle w:val="Hipervnculo"/>
                <w:rFonts w:cs="Times New Roman"/>
                <w:noProof/>
              </w:rPr>
              <w:t>5.1</w:t>
            </w:r>
            <w:r w:rsidR="000C5320">
              <w:rPr>
                <w:rFonts w:asciiTheme="minorHAnsi" w:hAnsiTheme="minorHAnsi"/>
                <w:noProof/>
                <w:szCs w:val="22"/>
                <w:lang w:eastAsia="es-GT"/>
              </w:rPr>
              <w:tab/>
            </w:r>
            <w:r w:rsidR="000C5320" w:rsidRPr="004625B4">
              <w:rPr>
                <w:rStyle w:val="Hipervnculo"/>
                <w:rFonts w:cs="Times New Roman"/>
                <w:noProof/>
              </w:rPr>
              <w:t>Erogaciones por Función continúan incrementándose</w:t>
            </w:r>
            <w:r w:rsidR="000C5320">
              <w:rPr>
                <w:noProof/>
                <w:webHidden/>
              </w:rPr>
              <w:tab/>
            </w:r>
            <w:r w:rsidR="000C5320">
              <w:rPr>
                <w:noProof/>
                <w:webHidden/>
              </w:rPr>
              <w:fldChar w:fldCharType="begin"/>
            </w:r>
            <w:r w:rsidR="000C5320">
              <w:rPr>
                <w:noProof/>
                <w:webHidden/>
              </w:rPr>
              <w:instrText xml:space="preserve"> PAGEREF _Toc110237451 \h </w:instrText>
            </w:r>
            <w:r w:rsidR="000C5320">
              <w:rPr>
                <w:noProof/>
                <w:webHidden/>
              </w:rPr>
            </w:r>
            <w:r w:rsidR="000C5320">
              <w:rPr>
                <w:noProof/>
                <w:webHidden/>
              </w:rPr>
              <w:fldChar w:fldCharType="separate"/>
            </w:r>
            <w:r w:rsidR="00657611">
              <w:rPr>
                <w:noProof/>
                <w:webHidden/>
              </w:rPr>
              <w:t>7</w:t>
            </w:r>
            <w:r w:rsidR="000C5320">
              <w:rPr>
                <w:noProof/>
                <w:webHidden/>
              </w:rPr>
              <w:fldChar w:fldCharType="end"/>
            </w:r>
          </w:hyperlink>
        </w:p>
        <w:p w14:paraId="69E47ED9" w14:textId="689D484D" w:rsidR="000C5320" w:rsidRDefault="00000000">
          <w:pPr>
            <w:pStyle w:val="TDC2"/>
            <w:rPr>
              <w:rFonts w:asciiTheme="minorHAnsi" w:hAnsiTheme="minorHAnsi"/>
              <w:noProof/>
              <w:szCs w:val="22"/>
              <w:lang w:eastAsia="es-GT"/>
            </w:rPr>
          </w:pPr>
          <w:hyperlink w:anchor="_Toc110237452" w:history="1">
            <w:r w:rsidR="000C5320" w:rsidRPr="004625B4">
              <w:rPr>
                <w:rStyle w:val="Hipervnculo"/>
                <w:rFonts w:cs="Times New Roman"/>
                <w:noProof/>
              </w:rPr>
              <w:t>5.2</w:t>
            </w:r>
            <w:r w:rsidR="000C5320">
              <w:rPr>
                <w:rFonts w:asciiTheme="minorHAnsi" w:hAnsiTheme="minorHAnsi"/>
                <w:noProof/>
                <w:szCs w:val="22"/>
                <w:lang w:eastAsia="es-GT"/>
              </w:rPr>
              <w:tab/>
            </w:r>
            <w:r w:rsidR="000C5320" w:rsidRPr="004625B4">
              <w:rPr>
                <w:rStyle w:val="Hipervnculo"/>
                <w:rFonts w:cs="Times New Roman"/>
                <w:noProof/>
              </w:rPr>
              <w:t>Grado de Ejecución Presupuestaria</w:t>
            </w:r>
            <w:r w:rsidR="000C5320">
              <w:rPr>
                <w:noProof/>
                <w:webHidden/>
              </w:rPr>
              <w:tab/>
            </w:r>
            <w:r w:rsidR="000C5320">
              <w:rPr>
                <w:noProof/>
                <w:webHidden/>
              </w:rPr>
              <w:fldChar w:fldCharType="begin"/>
            </w:r>
            <w:r w:rsidR="000C5320">
              <w:rPr>
                <w:noProof/>
                <w:webHidden/>
              </w:rPr>
              <w:instrText xml:space="preserve"> PAGEREF _Toc110237452 \h </w:instrText>
            </w:r>
            <w:r w:rsidR="000C5320">
              <w:rPr>
                <w:noProof/>
                <w:webHidden/>
              </w:rPr>
            </w:r>
            <w:r w:rsidR="000C5320">
              <w:rPr>
                <w:noProof/>
                <w:webHidden/>
              </w:rPr>
              <w:fldChar w:fldCharType="separate"/>
            </w:r>
            <w:r w:rsidR="00657611">
              <w:rPr>
                <w:noProof/>
                <w:webHidden/>
              </w:rPr>
              <w:t>8</w:t>
            </w:r>
            <w:r w:rsidR="000C5320">
              <w:rPr>
                <w:noProof/>
                <w:webHidden/>
              </w:rPr>
              <w:fldChar w:fldCharType="end"/>
            </w:r>
          </w:hyperlink>
        </w:p>
        <w:p w14:paraId="7DE3463C" w14:textId="0F396FE1" w:rsidR="000C5320" w:rsidRDefault="00000000">
          <w:pPr>
            <w:pStyle w:val="TDC1"/>
            <w:rPr>
              <w:rFonts w:asciiTheme="minorHAnsi" w:eastAsiaTheme="minorEastAsia" w:hAnsiTheme="minorHAnsi" w:cstheme="minorBidi"/>
              <w:b w:val="0"/>
              <w:bCs w:val="0"/>
              <w:szCs w:val="22"/>
              <w:lang w:eastAsia="es-GT"/>
            </w:rPr>
          </w:pPr>
          <w:hyperlink w:anchor="_Toc110237453" w:history="1">
            <w:r w:rsidR="000C5320" w:rsidRPr="004625B4">
              <w:rPr>
                <w:rStyle w:val="Hipervnculo"/>
                <w:lang w:val="es-MX"/>
              </w:rPr>
              <w:t>VI.</w:t>
            </w:r>
            <w:r w:rsidR="000C5320">
              <w:rPr>
                <w:rFonts w:asciiTheme="minorHAnsi" w:eastAsiaTheme="minorEastAsia" w:hAnsiTheme="minorHAnsi" w:cstheme="minorBidi"/>
                <w:b w:val="0"/>
                <w:bCs w:val="0"/>
                <w:szCs w:val="22"/>
                <w:lang w:eastAsia="es-GT"/>
              </w:rPr>
              <w:tab/>
            </w:r>
            <w:r w:rsidR="000C5320" w:rsidRPr="004625B4">
              <w:rPr>
                <w:rStyle w:val="Hipervnculo"/>
                <w:lang w:val="es-MX"/>
              </w:rPr>
              <w:t>Resultado Fiscal</w:t>
            </w:r>
            <w:r w:rsidR="000C5320">
              <w:rPr>
                <w:webHidden/>
              </w:rPr>
              <w:tab/>
            </w:r>
            <w:r w:rsidR="000C5320">
              <w:rPr>
                <w:webHidden/>
              </w:rPr>
              <w:fldChar w:fldCharType="begin"/>
            </w:r>
            <w:r w:rsidR="000C5320">
              <w:rPr>
                <w:webHidden/>
              </w:rPr>
              <w:instrText xml:space="preserve"> PAGEREF _Toc110237453 \h </w:instrText>
            </w:r>
            <w:r w:rsidR="000C5320">
              <w:rPr>
                <w:webHidden/>
              </w:rPr>
            </w:r>
            <w:r w:rsidR="000C5320">
              <w:rPr>
                <w:webHidden/>
              </w:rPr>
              <w:fldChar w:fldCharType="separate"/>
            </w:r>
            <w:r w:rsidR="00657611">
              <w:rPr>
                <w:webHidden/>
              </w:rPr>
              <w:t>9</w:t>
            </w:r>
            <w:r w:rsidR="000C5320">
              <w:rPr>
                <w:webHidden/>
              </w:rPr>
              <w:fldChar w:fldCharType="end"/>
            </w:r>
          </w:hyperlink>
        </w:p>
        <w:p w14:paraId="130A7239" w14:textId="0BB3CC16" w:rsidR="000C5320" w:rsidRDefault="00000000">
          <w:pPr>
            <w:pStyle w:val="TDC2"/>
            <w:rPr>
              <w:rFonts w:asciiTheme="minorHAnsi" w:hAnsiTheme="minorHAnsi"/>
              <w:noProof/>
              <w:szCs w:val="22"/>
              <w:lang w:eastAsia="es-GT"/>
            </w:rPr>
          </w:pPr>
          <w:hyperlink w:anchor="_Toc110237455" w:history="1">
            <w:r w:rsidR="000C5320" w:rsidRPr="004625B4">
              <w:rPr>
                <w:rStyle w:val="Hipervnculo"/>
                <w:rFonts w:cs="Times New Roman"/>
                <w:noProof/>
              </w:rPr>
              <w:t>6.1</w:t>
            </w:r>
            <w:r w:rsidR="000C5320">
              <w:rPr>
                <w:rFonts w:asciiTheme="minorHAnsi" w:hAnsiTheme="minorHAnsi"/>
                <w:noProof/>
                <w:szCs w:val="22"/>
                <w:lang w:eastAsia="es-GT"/>
              </w:rPr>
              <w:tab/>
            </w:r>
            <w:r w:rsidR="000C5320" w:rsidRPr="004625B4">
              <w:rPr>
                <w:rStyle w:val="Hipervnculo"/>
                <w:rFonts w:cs="Times New Roman"/>
                <w:noProof/>
              </w:rPr>
              <w:t>Resultado Operativo fue positivo en la primera mitad del año</w:t>
            </w:r>
            <w:r w:rsidR="000C5320">
              <w:rPr>
                <w:noProof/>
                <w:webHidden/>
              </w:rPr>
              <w:tab/>
            </w:r>
            <w:r w:rsidR="000C5320">
              <w:rPr>
                <w:noProof/>
                <w:webHidden/>
              </w:rPr>
              <w:fldChar w:fldCharType="begin"/>
            </w:r>
            <w:r w:rsidR="000C5320">
              <w:rPr>
                <w:noProof/>
                <w:webHidden/>
              </w:rPr>
              <w:instrText xml:space="preserve"> PAGEREF _Toc110237455 \h </w:instrText>
            </w:r>
            <w:r w:rsidR="000C5320">
              <w:rPr>
                <w:noProof/>
                <w:webHidden/>
              </w:rPr>
            </w:r>
            <w:r w:rsidR="000C5320">
              <w:rPr>
                <w:noProof/>
                <w:webHidden/>
              </w:rPr>
              <w:fldChar w:fldCharType="separate"/>
            </w:r>
            <w:r w:rsidR="00657611">
              <w:rPr>
                <w:noProof/>
                <w:webHidden/>
              </w:rPr>
              <w:t>9</w:t>
            </w:r>
            <w:r w:rsidR="000C5320">
              <w:rPr>
                <w:noProof/>
                <w:webHidden/>
              </w:rPr>
              <w:fldChar w:fldCharType="end"/>
            </w:r>
          </w:hyperlink>
        </w:p>
        <w:p w14:paraId="12CCA317" w14:textId="71C919AD" w:rsidR="000C5320" w:rsidRDefault="00000000">
          <w:pPr>
            <w:pStyle w:val="TDC2"/>
            <w:rPr>
              <w:rFonts w:asciiTheme="minorHAnsi" w:hAnsiTheme="minorHAnsi"/>
              <w:noProof/>
              <w:szCs w:val="22"/>
              <w:lang w:eastAsia="es-GT"/>
            </w:rPr>
          </w:pPr>
          <w:hyperlink w:anchor="_Toc110237456" w:history="1">
            <w:r w:rsidR="000C5320" w:rsidRPr="004625B4">
              <w:rPr>
                <w:rStyle w:val="Hipervnculo"/>
                <w:rFonts w:cs="Times New Roman"/>
                <w:noProof/>
              </w:rPr>
              <w:t>6.2</w:t>
            </w:r>
            <w:r w:rsidR="000C5320">
              <w:rPr>
                <w:rFonts w:asciiTheme="minorHAnsi" w:hAnsiTheme="minorHAnsi"/>
                <w:noProof/>
                <w:szCs w:val="22"/>
                <w:lang w:eastAsia="es-GT"/>
              </w:rPr>
              <w:tab/>
            </w:r>
            <w:r w:rsidR="000C5320" w:rsidRPr="004625B4">
              <w:rPr>
                <w:rStyle w:val="Hipervnculo"/>
                <w:rFonts w:cs="Times New Roman"/>
                <w:noProof/>
              </w:rPr>
              <w:t>Se reporta un déficit al terminar el segundo trimestre.</w:t>
            </w:r>
            <w:r w:rsidR="000C5320">
              <w:rPr>
                <w:noProof/>
                <w:webHidden/>
              </w:rPr>
              <w:tab/>
            </w:r>
            <w:r w:rsidR="000C5320">
              <w:rPr>
                <w:noProof/>
                <w:webHidden/>
              </w:rPr>
              <w:fldChar w:fldCharType="begin"/>
            </w:r>
            <w:r w:rsidR="000C5320">
              <w:rPr>
                <w:noProof/>
                <w:webHidden/>
              </w:rPr>
              <w:instrText xml:space="preserve"> PAGEREF _Toc110237456 \h </w:instrText>
            </w:r>
            <w:r w:rsidR="000C5320">
              <w:rPr>
                <w:noProof/>
                <w:webHidden/>
              </w:rPr>
            </w:r>
            <w:r w:rsidR="000C5320">
              <w:rPr>
                <w:noProof/>
                <w:webHidden/>
              </w:rPr>
              <w:fldChar w:fldCharType="separate"/>
            </w:r>
            <w:r w:rsidR="00657611">
              <w:rPr>
                <w:noProof/>
                <w:webHidden/>
              </w:rPr>
              <w:t>9</w:t>
            </w:r>
            <w:r w:rsidR="000C5320">
              <w:rPr>
                <w:noProof/>
                <w:webHidden/>
              </w:rPr>
              <w:fldChar w:fldCharType="end"/>
            </w:r>
          </w:hyperlink>
        </w:p>
        <w:p w14:paraId="5BE2AAB0" w14:textId="4F996D8A" w:rsidR="0032588B" w:rsidRPr="00DB556E" w:rsidRDefault="0032588B" w:rsidP="00CD34D6">
          <w:pPr>
            <w:spacing w:line="276" w:lineRule="auto"/>
            <w:rPr>
              <w:rFonts w:cs="Times New Roman"/>
              <w:color w:val="FF0000"/>
            </w:rPr>
          </w:pPr>
          <w:r w:rsidRPr="00DB556E">
            <w:rPr>
              <w:rFonts w:cs="Times New Roman"/>
              <w:bCs/>
              <w:color w:val="FF0000"/>
              <w:lang w:val="es-ES"/>
            </w:rPr>
            <w:fldChar w:fldCharType="end"/>
          </w:r>
        </w:p>
      </w:sdtContent>
    </w:sdt>
    <w:p w14:paraId="21BB0213" w14:textId="77777777" w:rsidR="006B58E6" w:rsidRPr="00DB556E" w:rsidRDefault="006B58E6" w:rsidP="006B58E6">
      <w:pPr>
        <w:tabs>
          <w:tab w:val="left" w:pos="5490"/>
        </w:tabs>
        <w:spacing w:after="200" w:line="276" w:lineRule="auto"/>
        <w:rPr>
          <w:rFonts w:eastAsiaTheme="majorEastAsia" w:cs="Times New Roman"/>
          <w:b/>
          <w:bCs/>
          <w:szCs w:val="26"/>
        </w:rPr>
      </w:pPr>
      <w:bookmarkStart w:id="3" w:name="_Toc33180541"/>
      <w:r w:rsidRPr="00DB556E">
        <w:rPr>
          <w:rFonts w:eastAsiaTheme="majorEastAsia" w:cs="Times New Roman"/>
          <w:b/>
          <w:bCs/>
          <w:szCs w:val="26"/>
        </w:rPr>
        <w:tab/>
      </w:r>
    </w:p>
    <w:p w14:paraId="1E4B481B" w14:textId="77777777" w:rsidR="0041288C" w:rsidRPr="00DB556E" w:rsidRDefault="0041288C" w:rsidP="006B58E6">
      <w:pPr>
        <w:tabs>
          <w:tab w:val="left" w:pos="5490"/>
        </w:tabs>
        <w:spacing w:after="200" w:line="276" w:lineRule="auto"/>
        <w:rPr>
          <w:rFonts w:eastAsiaTheme="majorEastAsia" w:cs="Times New Roman"/>
          <w:b/>
          <w:bCs/>
          <w:szCs w:val="26"/>
        </w:rPr>
      </w:pPr>
      <w:r w:rsidRPr="00DB556E">
        <w:rPr>
          <w:rFonts w:eastAsiaTheme="majorEastAsia" w:cs="Times New Roman"/>
          <w:szCs w:val="26"/>
        </w:rPr>
        <w:br w:type="page"/>
      </w:r>
    </w:p>
    <w:p w14:paraId="4919E5EF" w14:textId="77777777" w:rsidR="0041288C" w:rsidRPr="00DB556E" w:rsidRDefault="0041288C" w:rsidP="00055D08">
      <w:pPr>
        <w:pStyle w:val="Prrafodelista"/>
        <w:ind w:left="0"/>
        <w:outlineLvl w:val="0"/>
        <w:rPr>
          <w:rFonts w:eastAsiaTheme="majorEastAsia" w:cs="Times New Roman"/>
          <w:b/>
          <w:bCs/>
          <w:sz w:val="24"/>
          <w:szCs w:val="26"/>
          <w:lang w:val="es-ES_tradnl" w:eastAsia="es-ES"/>
        </w:rPr>
      </w:pPr>
      <w:bookmarkStart w:id="4" w:name="_Toc110237426"/>
      <w:r w:rsidRPr="00DB556E">
        <w:rPr>
          <w:rFonts w:eastAsiaTheme="majorEastAsia" w:cs="Times New Roman"/>
          <w:b/>
          <w:bCs/>
          <w:sz w:val="24"/>
          <w:szCs w:val="26"/>
          <w:lang w:val="es-ES_tradnl" w:eastAsia="es-ES"/>
        </w:rPr>
        <w:lastRenderedPageBreak/>
        <w:t>Introducción</w:t>
      </w:r>
      <w:bookmarkEnd w:id="3"/>
      <w:bookmarkEnd w:id="4"/>
    </w:p>
    <w:p w14:paraId="0196EF86" w14:textId="7B1867BC" w:rsidR="00974B8B" w:rsidRPr="00DB556E" w:rsidRDefault="0041288C" w:rsidP="00F55D61">
      <w:pPr>
        <w:rPr>
          <w:lang w:val="es-MX"/>
        </w:rPr>
      </w:pPr>
      <w:r w:rsidRPr="00DB556E">
        <w:rPr>
          <w:lang w:val="es-MX"/>
        </w:rPr>
        <w:t xml:space="preserve">A continuación, se presenta </w:t>
      </w:r>
      <w:r w:rsidRPr="00DB556E">
        <w:rPr>
          <w:b/>
          <w:bCs/>
          <w:lang w:val="es-MX"/>
        </w:rPr>
        <w:t>el Informe</w:t>
      </w:r>
      <w:r w:rsidR="00445193" w:rsidRPr="00DB556E">
        <w:rPr>
          <w:b/>
          <w:bCs/>
          <w:lang w:val="es-MX"/>
        </w:rPr>
        <w:t xml:space="preserve"> </w:t>
      </w:r>
      <w:r w:rsidR="00AB1204" w:rsidRPr="00DB556E">
        <w:rPr>
          <w:b/>
          <w:bCs/>
          <w:lang w:val="es-MX"/>
        </w:rPr>
        <w:t xml:space="preserve">del </w:t>
      </w:r>
      <w:r w:rsidR="000D34A3">
        <w:rPr>
          <w:b/>
          <w:bCs/>
          <w:lang w:val="es-MX"/>
        </w:rPr>
        <w:t>Segundo</w:t>
      </w:r>
      <w:r w:rsidR="002E2298" w:rsidRPr="00DB556E">
        <w:rPr>
          <w:b/>
          <w:bCs/>
          <w:lang w:val="es-MX"/>
        </w:rPr>
        <w:t xml:space="preserve"> </w:t>
      </w:r>
      <w:r w:rsidR="00C923AF" w:rsidRPr="00DB556E">
        <w:rPr>
          <w:b/>
          <w:bCs/>
          <w:lang w:val="es-MX"/>
        </w:rPr>
        <w:t>T</w:t>
      </w:r>
      <w:r w:rsidR="002E2298" w:rsidRPr="00DB556E">
        <w:rPr>
          <w:b/>
          <w:bCs/>
          <w:lang w:val="es-MX"/>
        </w:rPr>
        <w:t>rimestre de 202</w:t>
      </w:r>
      <w:r w:rsidR="00F535E9" w:rsidRPr="00DB556E">
        <w:rPr>
          <w:b/>
          <w:bCs/>
          <w:lang w:val="es-MX"/>
        </w:rPr>
        <w:t>2</w:t>
      </w:r>
      <w:r w:rsidR="002E2298" w:rsidRPr="00DB556E">
        <w:rPr>
          <w:lang w:val="es-MX"/>
        </w:rPr>
        <w:t xml:space="preserve">, </w:t>
      </w:r>
      <w:r w:rsidRPr="00DB556E">
        <w:rPr>
          <w:lang w:val="es-MX"/>
        </w:rPr>
        <w:t>sobre l</w:t>
      </w:r>
      <w:r w:rsidR="00D63046" w:rsidRPr="00DB556E">
        <w:rPr>
          <w:lang w:val="es-MX"/>
        </w:rPr>
        <w:t>a ejecución financiera del gobierno central presupuestario sobre la base de las</w:t>
      </w:r>
      <w:r w:rsidRPr="00DB556E">
        <w:rPr>
          <w:lang w:val="es-MX"/>
        </w:rPr>
        <w:t xml:space="preserve"> Estadísticas de las Finanzas Públicas -EFP- el cual contiene los aspectos más relevantes de la evolución de las variables fiscales</w:t>
      </w:r>
      <w:r w:rsidR="00D63046" w:rsidRPr="00DB556E">
        <w:rPr>
          <w:lang w:val="es-MX"/>
        </w:rPr>
        <w:t>, así como las</w:t>
      </w:r>
      <w:r w:rsidR="00AA5C09" w:rsidRPr="00DB556E">
        <w:rPr>
          <w:lang w:val="es-MX"/>
        </w:rPr>
        <w:t xml:space="preserve"> </w:t>
      </w:r>
      <w:r w:rsidRPr="00DB556E">
        <w:rPr>
          <w:lang w:val="es-MX"/>
        </w:rPr>
        <w:t>principales acciones en materia de ingresos, gasto, transacciones en activos y pasivos y las erogaciones por función del Gobierno</w:t>
      </w:r>
      <w:r w:rsidR="004E3572" w:rsidRPr="00DB556E">
        <w:rPr>
          <w:lang w:val="es-MX"/>
        </w:rPr>
        <w:t xml:space="preserve">. </w:t>
      </w:r>
    </w:p>
    <w:p w14:paraId="166F9829" w14:textId="77777777" w:rsidR="00974B8B" w:rsidRPr="00DB556E" w:rsidRDefault="00974B8B" w:rsidP="00F55D61">
      <w:pPr>
        <w:rPr>
          <w:lang w:val="es-MX"/>
        </w:rPr>
      </w:pPr>
    </w:p>
    <w:p w14:paraId="522D2460" w14:textId="77777777" w:rsidR="0041288C" w:rsidRPr="00DB556E" w:rsidRDefault="004E3572" w:rsidP="00F55D61">
      <w:pPr>
        <w:rPr>
          <w:lang w:val="es-MX"/>
        </w:rPr>
      </w:pPr>
      <w:r w:rsidRPr="00DB556E">
        <w:rPr>
          <w:lang w:val="es-MX"/>
        </w:rPr>
        <w:t xml:space="preserve">Cabe mencionar que dicha información utiliza los </w:t>
      </w:r>
      <w:r w:rsidR="005F2296" w:rsidRPr="00DB556E">
        <w:rPr>
          <w:lang w:val="es-MX"/>
        </w:rPr>
        <w:t>estándares internacionales establecidos en el Manual de Estadísticas de las Finanzas Públicas 2014 -MEFP-</w:t>
      </w:r>
      <w:r w:rsidR="00974B8B" w:rsidRPr="00DB556E">
        <w:rPr>
          <w:lang w:val="es-MX"/>
        </w:rPr>
        <w:t xml:space="preserve"> del Fondo Monetario </w:t>
      </w:r>
      <w:r w:rsidR="00F35956" w:rsidRPr="00DB556E">
        <w:rPr>
          <w:lang w:val="es-MX"/>
        </w:rPr>
        <w:t xml:space="preserve">Internacional </w:t>
      </w:r>
      <w:r w:rsidR="0041288C" w:rsidRPr="00DB556E">
        <w:rPr>
          <w:lang w:val="es-MX"/>
        </w:rPr>
        <w:t>-FMI- por lo que existen diferencias en comparación</w:t>
      </w:r>
      <w:r w:rsidR="00774760" w:rsidRPr="00DB556E">
        <w:rPr>
          <w:lang w:val="es-MX"/>
        </w:rPr>
        <w:t xml:space="preserve"> a las cifras que son publicadas </w:t>
      </w:r>
      <w:r w:rsidR="0041288C" w:rsidRPr="00DB556E">
        <w:rPr>
          <w:lang w:val="es-MX"/>
        </w:rPr>
        <w:t>utiliza</w:t>
      </w:r>
      <w:r w:rsidR="00774760" w:rsidRPr="00DB556E">
        <w:rPr>
          <w:lang w:val="es-MX"/>
        </w:rPr>
        <w:t>ndo</w:t>
      </w:r>
      <w:r w:rsidR="0041288C" w:rsidRPr="00DB556E">
        <w:rPr>
          <w:lang w:val="es-MX"/>
        </w:rPr>
        <w:t xml:space="preserve"> la metodología nacional.</w:t>
      </w:r>
      <w:r w:rsidR="00F8714D" w:rsidRPr="00DB556E">
        <w:rPr>
          <w:lang w:val="es-MX"/>
        </w:rPr>
        <w:t xml:space="preserve"> </w:t>
      </w:r>
      <w:r w:rsidR="003D1490" w:rsidRPr="00DB556E">
        <w:rPr>
          <w:lang w:val="es-MX"/>
        </w:rPr>
        <w:t xml:space="preserve">En caso de cualquier </w:t>
      </w:r>
      <w:r w:rsidR="00FA4254" w:rsidRPr="00DB556E">
        <w:rPr>
          <w:lang w:val="es-MX"/>
        </w:rPr>
        <w:t>duda</w:t>
      </w:r>
      <w:r w:rsidR="00E507D9" w:rsidRPr="00DB556E">
        <w:rPr>
          <w:lang w:val="es-MX"/>
        </w:rPr>
        <w:t xml:space="preserve"> sobre estas diferencias</w:t>
      </w:r>
      <w:r w:rsidR="002710C2" w:rsidRPr="00DB556E">
        <w:rPr>
          <w:lang w:val="es-MX"/>
        </w:rPr>
        <w:t xml:space="preserve">, </w:t>
      </w:r>
      <w:r w:rsidR="00723705" w:rsidRPr="00DB556E">
        <w:rPr>
          <w:lang w:val="es-MX"/>
        </w:rPr>
        <w:t xml:space="preserve">se </w:t>
      </w:r>
      <w:r w:rsidR="002710C2" w:rsidRPr="00DB556E">
        <w:rPr>
          <w:lang w:val="es-MX"/>
        </w:rPr>
        <w:t xml:space="preserve">puede consultar los documentos de </w:t>
      </w:r>
      <w:r w:rsidR="00C139AC" w:rsidRPr="00DB556E">
        <w:rPr>
          <w:lang w:val="es-MX"/>
        </w:rPr>
        <w:t>“</w:t>
      </w:r>
      <w:r w:rsidR="002710C2" w:rsidRPr="00DB556E">
        <w:rPr>
          <w:lang w:val="es-MX"/>
        </w:rPr>
        <w:t>Metodología</w:t>
      </w:r>
      <w:r w:rsidR="00C139AC" w:rsidRPr="00DB556E">
        <w:rPr>
          <w:lang w:val="es-MX"/>
        </w:rPr>
        <w:t>”</w:t>
      </w:r>
      <w:r w:rsidR="002710C2" w:rsidRPr="00DB556E">
        <w:rPr>
          <w:lang w:val="es-MX"/>
        </w:rPr>
        <w:t xml:space="preserve"> y de </w:t>
      </w:r>
      <w:r w:rsidR="00C139AC" w:rsidRPr="00DB556E">
        <w:rPr>
          <w:lang w:val="es-MX"/>
        </w:rPr>
        <w:t xml:space="preserve">“Metadatos” </w:t>
      </w:r>
      <w:r w:rsidR="00F42DC5" w:rsidRPr="00DB556E">
        <w:rPr>
          <w:lang w:val="es-MX"/>
        </w:rPr>
        <w:t xml:space="preserve">que se encuentran publicados en </w:t>
      </w:r>
      <w:r w:rsidR="00C923AF" w:rsidRPr="00DB556E">
        <w:rPr>
          <w:lang w:val="es-MX"/>
        </w:rPr>
        <w:t xml:space="preserve">la </w:t>
      </w:r>
      <w:r w:rsidR="00DB2A3F" w:rsidRPr="00DB556E">
        <w:rPr>
          <w:lang w:val="es-MX"/>
        </w:rPr>
        <w:t>página</w:t>
      </w:r>
      <w:r w:rsidR="00F42DC5" w:rsidRPr="00DB556E">
        <w:rPr>
          <w:lang w:val="es-MX"/>
        </w:rPr>
        <w:t xml:space="preserve"> web</w:t>
      </w:r>
      <w:r w:rsidR="00C923AF" w:rsidRPr="00DB556E">
        <w:rPr>
          <w:lang w:val="es-MX"/>
        </w:rPr>
        <w:t xml:space="preserve"> del Ministerio de Finanzas Públicas</w:t>
      </w:r>
      <w:r w:rsidR="00723705" w:rsidRPr="00DB556E">
        <w:rPr>
          <w:lang w:val="es-MX"/>
        </w:rPr>
        <w:t>,</w:t>
      </w:r>
      <w:r w:rsidR="00C923AF" w:rsidRPr="00DB556E">
        <w:rPr>
          <w:lang w:val="es-MX"/>
        </w:rPr>
        <w:t xml:space="preserve"> en la sección de “Estadísticas según Estándares Internacionales”</w:t>
      </w:r>
      <w:r w:rsidR="00F42DC5" w:rsidRPr="00DB556E">
        <w:rPr>
          <w:lang w:val="es-MX"/>
        </w:rPr>
        <w:t>.</w:t>
      </w:r>
    </w:p>
    <w:p w14:paraId="28D96728" w14:textId="77777777" w:rsidR="002B762F" w:rsidRPr="00DB556E" w:rsidRDefault="002B762F" w:rsidP="00F55D61">
      <w:pPr>
        <w:rPr>
          <w:lang w:val="es-MX"/>
        </w:rPr>
      </w:pPr>
    </w:p>
    <w:p w14:paraId="37573775" w14:textId="77777777" w:rsidR="00E66A98" w:rsidRPr="00DB556E"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5" w:name="_Toc110237427"/>
      <w:bookmarkEnd w:id="1"/>
      <w:bookmarkEnd w:id="2"/>
      <w:r w:rsidRPr="00DB556E">
        <w:rPr>
          <w:rFonts w:eastAsiaTheme="majorEastAsia" w:cs="Times New Roman"/>
          <w:b/>
          <w:bCs/>
          <w:sz w:val="24"/>
          <w:szCs w:val="26"/>
          <w:lang w:val="es-ES_tradnl" w:eastAsia="es-ES"/>
        </w:rPr>
        <w:t>Ingresos</w:t>
      </w:r>
      <w:r w:rsidR="00E66A98" w:rsidRPr="00DB556E">
        <w:rPr>
          <w:rFonts w:eastAsiaTheme="majorEastAsia" w:cs="Times New Roman"/>
          <w:b/>
          <w:bCs/>
          <w:sz w:val="24"/>
          <w:szCs w:val="26"/>
          <w:lang w:val="es-ES_tradnl" w:eastAsia="es-ES"/>
        </w:rPr>
        <w:t xml:space="preserve"> </w:t>
      </w:r>
      <w:r w:rsidR="00301F9F" w:rsidRPr="00DB556E">
        <w:rPr>
          <w:rFonts w:eastAsiaTheme="majorEastAsia" w:cs="Times New Roman"/>
          <w:b/>
          <w:bCs/>
          <w:sz w:val="24"/>
          <w:szCs w:val="26"/>
          <w:lang w:val="es-ES_tradnl" w:eastAsia="es-ES"/>
        </w:rPr>
        <w:t>del Gobierno Central Presupuestario</w:t>
      </w:r>
      <w:bookmarkEnd w:id="5"/>
    </w:p>
    <w:p w14:paraId="27F759C0" w14:textId="77777777" w:rsidR="00E66A98" w:rsidRPr="00DB556E" w:rsidRDefault="00DB2C33" w:rsidP="002C3755">
      <w:pPr>
        <w:rPr>
          <w:rFonts w:eastAsiaTheme="majorEastAsia"/>
          <w:lang w:val="es-ES_tradnl"/>
        </w:rPr>
      </w:pPr>
      <w:r w:rsidRPr="00DB556E">
        <w:rPr>
          <w:rFonts w:eastAsiaTheme="majorEastAsia"/>
          <w:noProof/>
          <w:lang w:eastAsia="es-GT"/>
        </w:rPr>
        <w:drawing>
          <wp:inline distT="0" distB="0" distL="0" distR="0" wp14:anchorId="2394B235" wp14:editId="45E3F372">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6" w:name="_Toc471986924"/>
      <w:bookmarkStart w:id="7" w:name="_Toc471987059"/>
      <w:bookmarkStart w:id="8" w:name="_Toc471987107"/>
      <w:bookmarkStart w:id="9" w:name="_Toc471987129"/>
      <w:bookmarkStart w:id="10" w:name="_Toc472082158"/>
      <w:bookmarkStart w:id="11" w:name="_Toc472082190"/>
      <w:bookmarkStart w:id="12" w:name="_Toc472089905"/>
      <w:bookmarkStart w:id="13" w:name="_Toc472089928"/>
      <w:bookmarkStart w:id="14" w:name="_Toc505346056"/>
      <w:bookmarkStart w:id="15" w:name="_Toc505349869"/>
      <w:bookmarkStart w:id="16" w:name="_Toc534985827"/>
      <w:bookmarkStart w:id="17" w:name="_Toc534988220"/>
      <w:bookmarkStart w:id="18" w:name="_Toc31611540"/>
      <w:bookmarkStart w:id="19" w:name="_Toc31612756"/>
      <w:bookmarkStart w:id="20" w:name="_Toc31612788"/>
      <w:bookmarkStart w:id="21" w:name="_Toc31614814"/>
      <w:bookmarkStart w:id="22" w:name="_Toc31614846"/>
      <w:bookmarkStart w:id="23" w:name="_Toc31618683"/>
      <w:bookmarkStart w:id="24" w:name="_Toc31618716"/>
      <w:bookmarkStart w:id="25" w:name="_Toc31624492"/>
      <w:bookmarkStart w:id="26" w:name="_Toc31625344"/>
      <w:bookmarkStart w:id="27" w:name="_Toc31626799"/>
      <w:bookmarkStart w:id="28" w:name="_Toc31811250"/>
      <w:bookmarkStart w:id="29" w:name="_Toc31811695"/>
      <w:bookmarkStart w:id="30" w:name="_Toc31971858"/>
      <w:bookmarkStart w:id="31" w:name="_Toc32230880"/>
      <w:bookmarkStart w:id="32" w:name="_Toc33109779"/>
      <w:bookmarkStart w:id="33" w:name="_Toc33109822"/>
      <w:bookmarkStart w:id="34" w:name="_Toc33180543"/>
      <w:bookmarkStart w:id="35" w:name="_Toc33180637"/>
      <w:bookmarkStart w:id="36" w:name="_Toc33193534"/>
      <w:bookmarkStart w:id="37" w:name="_Toc33193573"/>
      <w:bookmarkStart w:id="38" w:name="_Toc33196770"/>
      <w:bookmarkStart w:id="39" w:name="_Toc40691746"/>
      <w:bookmarkStart w:id="40" w:name="_Toc40959149"/>
      <w:bookmarkStart w:id="41" w:name="_Toc40975983"/>
      <w:bookmarkStart w:id="42" w:name="_Toc40976052"/>
      <w:bookmarkStart w:id="43" w:name="_Toc40993307"/>
      <w:bookmarkStart w:id="44" w:name="_Toc40993689"/>
      <w:bookmarkStart w:id="45" w:name="_Toc4103756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73AD0D9" w14:textId="6F5D325C" w:rsidR="00E66A98" w:rsidRPr="00DB556E" w:rsidRDefault="00852DED"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6" w:name="_Toc110237428"/>
      <w:r>
        <w:rPr>
          <w:rFonts w:ascii="Times New Roman" w:hAnsi="Times New Roman" w:cs="Times New Roman"/>
          <w:color w:val="auto"/>
          <w:sz w:val="24"/>
        </w:rPr>
        <w:t>El comportamiento de los ingresos es positivo</w:t>
      </w:r>
      <w:bookmarkEnd w:id="46"/>
    </w:p>
    <w:p w14:paraId="066AF438" w14:textId="1128E939" w:rsidR="005D0658" w:rsidRPr="00DB556E" w:rsidRDefault="00B42371" w:rsidP="00CD34D6">
      <w:pPr>
        <w:rPr>
          <w:rFonts w:cs="Times New Roman"/>
          <w:szCs w:val="22"/>
        </w:rPr>
      </w:pPr>
      <w:r w:rsidRPr="00DB556E">
        <w:rPr>
          <w:rFonts w:cs="Times New Roman"/>
          <w:noProof/>
          <w:sz w:val="24"/>
          <w:lang w:eastAsia="es-GT"/>
        </w:rPr>
        <w:drawing>
          <wp:anchor distT="0" distB="0" distL="114300" distR="114300" simplePos="0" relativeHeight="251660292" behindDoc="0" locked="0" layoutInCell="1" allowOverlap="1" wp14:anchorId="0E488811" wp14:editId="3DBDE911">
            <wp:simplePos x="0" y="0"/>
            <wp:positionH relativeFrom="column">
              <wp:posOffset>3195320</wp:posOffset>
            </wp:positionH>
            <wp:positionV relativeFrom="paragraph">
              <wp:posOffset>9525</wp:posOffset>
            </wp:positionV>
            <wp:extent cx="2820670" cy="249555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25E7F">
        <w:rPr>
          <w:rFonts w:cs="Times New Roman"/>
          <w:szCs w:val="22"/>
        </w:rPr>
        <w:t xml:space="preserve">Los ingresos totales en la primera mitad del año </w:t>
      </w:r>
      <w:r w:rsidR="00DF7D79">
        <w:rPr>
          <w:rFonts w:cs="Times New Roman"/>
          <w:szCs w:val="22"/>
        </w:rPr>
        <w:t xml:space="preserve">se situaron entorno a </w:t>
      </w:r>
      <w:r w:rsidR="00C22139" w:rsidRPr="00DB556E">
        <w:rPr>
          <w:rFonts w:cs="Times New Roman"/>
          <w:szCs w:val="22"/>
        </w:rPr>
        <w:t>Q</w:t>
      </w:r>
      <w:r w:rsidR="00613A0E">
        <w:rPr>
          <w:rFonts w:cs="Times New Roman"/>
          <w:szCs w:val="22"/>
        </w:rPr>
        <w:t>45,341.0</w:t>
      </w:r>
      <w:r w:rsidR="00C22139" w:rsidRPr="00DB556E">
        <w:rPr>
          <w:rFonts w:cs="Times New Roman"/>
          <w:szCs w:val="22"/>
        </w:rPr>
        <w:t xml:space="preserve"> millones</w:t>
      </w:r>
      <w:r w:rsidR="00613A0E">
        <w:rPr>
          <w:rFonts w:cs="Times New Roman"/>
          <w:szCs w:val="22"/>
        </w:rPr>
        <w:t xml:space="preserve"> y</w:t>
      </w:r>
      <w:r w:rsidR="0026147D" w:rsidRPr="00DB556E">
        <w:rPr>
          <w:rFonts w:cs="Times New Roman"/>
          <w:szCs w:val="22"/>
        </w:rPr>
        <w:t xml:space="preserve"> siendo este un crecimiento del </w:t>
      </w:r>
      <w:r w:rsidR="00613A0E">
        <w:rPr>
          <w:rFonts w:cs="Times New Roman"/>
          <w:szCs w:val="22"/>
        </w:rPr>
        <w:t>16</w:t>
      </w:r>
      <w:r w:rsidR="0026147D" w:rsidRPr="00DB556E">
        <w:rPr>
          <w:rFonts w:cs="Times New Roman"/>
          <w:szCs w:val="22"/>
        </w:rPr>
        <w:t>.</w:t>
      </w:r>
      <w:r w:rsidR="00613A0E">
        <w:rPr>
          <w:rFonts w:cs="Times New Roman"/>
          <w:szCs w:val="22"/>
        </w:rPr>
        <w:t>3</w:t>
      </w:r>
      <w:r w:rsidR="0026147D" w:rsidRPr="00DB556E">
        <w:rPr>
          <w:rFonts w:cs="Times New Roman"/>
          <w:szCs w:val="22"/>
        </w:rPr>
        <w:t>%</w:t>
      </w:r>
      <w:r w:rsidR="00284EEB" w:rsidRPr="00DB556E">
        <w:rPr>
          <w:rFonts w:cs="Times New Roman"/>
          <w:szCs w:val="22"/>
        </w:rPr>
        <w:t xml:space="preserve"> (Q</w:t>
      </w:r>
      <w:r w:rsidR="00613A0E">
        <w:rPr>
          <w:rFonts w:cs="Times New Roman"/>
          <w:szCs w:val="22"/>
        </w:rPr>
        <w:t>6</w:t>
      </w:r>
      <w:r w:rsidR="00284EEB" w:rsidRPr="00DB556E">
        <w:rPr>
          <w:rFonts w:cs="Times New Roman"/>
          <w:szCs w:val="22"/>
        </w:rPr>
        <w:t>,</w:t>
      </w:r>
      <w:r w:rsidR="00613A0E">
        <w:rPr>
          <w:rFonts w:cs="Times New Roman"/>
          <w:szCs w:val="22"/>
        </w:rPr>
        <w:t>34</w:t>
      </w:r>
      <w:r w:rsidR="007C14A5">
        <w:rPr>
          <w:rFonts w:cs="Times New Roman"/>
          <w:szCs w:val="22"/>
        </w:rPr>
        <w:t>0</w:t>
      </w:r>
      <w:r w:rsidR="00284EEB" w:rsidRPr="00DB556E">
        <w:rPr>
          <w:rFonts w:cs="Times New Roman"/>
          <w:szCs w:val="22"/>
        </w:rPr>
        <w:t>.</w:t>
      </w:r>
      <w:r w:rsidR="007C14A5">
        <w:rPr>
          <w:rFonts w:cs="Times New Roman"/>
          <w:szCs w:val="22"/>
        </w:rPr>
        <w:t>7</w:t>
      </w:r>
      <w:r w:rsidR="00284EEB" w:rsidRPr="00DB556E">
        <w:rPr>
          <w:rFonts w:cs="Times New Roman"/>
          <w:szCs w:val="22"/>
        </w:rPr>
        <w:t xml:space="preserve"> millones)</w:t>
      </w:r>
      <w:r w:rsidR="0026147D" w:rsidRPr="00DB556E">
        <w:rPr>
          <w:rFonts w:cs="Times New Roman"/>
          <w:szCs w:val="22"/>
        </w:rPr>
        <w:t xml:space="preserve"> respecto al mismo per</w:t>
      </w:r>
      <w:r w:rsidR="00557348">
        <w:rPr>
          <w:rFonts w:cs="Times New Roman"/>
          <w:szCs w:val="22"/>
        </w:rPr>
        <w:t>í</w:t>
      </w:r>
      <w:r w:rsidR="0026147D" w:rsidRPr="00DB556E">
        <w:rPr>
          <w:rFonts w:cs="Times New Roman"/>
          <w:szCs w:val="22"/>
        </w:rPr>
        <w:t>odo del año previo</w:t>
      </w:r>
      <w:r w:rsidR="00F90792">
        <w:rPr>
          <w:rFonts w:cs="Times New Roman"/>
          <w:szCs w:val="22"/>
        </w:rPr>
        <w:t>, continuado de esta man</w:t>
      </w:r>
      <w:r w:rsidR="00557348">
        <w:rPr>
          <w:rFonts w:cs="Times New Roman"/>
          <w:szCs w:val="22"/>
        </w:rPr>
        <w:t>e</w:t>
      </w:r>
      <w:r w:rsidR="00F90792">
        <w:rPr>
          <w:rFonts w:cs="Times New Roman"/>
          <w:szCs w:val="22"/>
        </w:rPr>
        <w:t>ra el buen dinamismo que se ha observado desde inicio de año</w:t>
      </w:r>
      <w:r w:rsidR="002F681E">
        <w:rPr>
          <w:rFonts w:cs="Times New Roman"/>
          <w:szCs w:val="22"/>
        </w:rPr>
        <w:t>.</w:t>
      </w:r>
    </w:p>
    <w:p w14:paraId="5027C496" w14:textId="77777777" w:rsidR="005D0658" w:rsidRPr="00DB556E" w:rsidRDefault="005D0658" w:rsidP="00CD34D6">
      <w:pPr>
        <w:rPr>
          <w:rFonts w:cs="Times New Roman"/>
          <w:szCs w:val="22"/>
        </w:rPr>
      </w:pPr>
    </w:p>
    <w:p w14:paraId="20AD89D5" w14:textId="2FA3E537" w:rsidR="00500A5D" w:rsidRPr="00DB556E" w:rsidRDefault="000E5739" w:rsidP="00CD34D6">
      <w:pPr>
        <w:rPr>
          <w:rFonts w:cs="Times New Roman"/>
          <w:szCs w:val="22"/>
        </w:rPr>
      </w:pPr>
      <w:r w:rsidRPr="00DB556E">
        <w:rPr>
          <w:rFonts w:cs="Times New Roman"/>
          <w:szCs w:val="22"/>
        </w:rPr>
        <w:t>El crecimiento</w:t>
      </w:r>
      <w:r w:rsidR="00457B47">
        <w:rPr>
          <w:rFonts w:cs="Times New Roman"/>
          <w:szCs w:val="22"/>
        </w:rPr>
        <w:t xml:space="preserve"> en los ingresos totales</w:t>
      </w:r>
      <w:r w:rsidRPr="00DB556E">
        <w:rPr>
          <w:rFonts w:cs="Times New Roman"/>
          <w:szCs w:val="22"/>
        </w:rPr>
        <w:t xml:space="preserve"> </w:t>
      </w:r>
      <w:r w:rsidR="00457B47">
        <w:rPr>
          <w:rFonts w:cs="Times New Roman"/>
          <w:szCs w:val="22"/>
        </w:rPr>
        <w:t>continúa</w:t>
      </w:r>
      <w:r w:rsidR="002F681E">
        <w:rPr>
          <w:rFonts w:cs="Times New Roman"/>
          <w:szCs w:val="22"/>
        </w:rPr>
        <w:t xml:space="preserve"> siendo</w:t>
      </w:r>
      <w:r w:rsidR="00FA6423">
        <w:rPr>
          <w:rFonts w:cs="Times New Roman"/>
          <w:szCs w:val="22"/>
        </w:rPr>
        <w:t xml:space="preserve"> </w:t>
      </w:r>
      <w:r w:rsidR="00557348">
        <w:rPr>
          <w:rFonts w:cs="Times New Roman"/>
          <w:szCs w:val="22"/>
        </w:rPr>
        <w:t xml:space="preserve">el </w:t>
      </w:r>
      <w:r w:rsidR="00FA6423">
        <w:rPr>
          <w:rFonts w:cs="Times New Roman"/>
          <w:szCs w:val="22"/>
        </w:rPr>
        <w:t>resultado del buen comportamiento de</w:t>
      </w:r>
      <w:r w:rsidRPr="00DB556E">
        <w:rPr>
          <w:rFonts w:cs="Times New Roman"/>
          <w:szCs w:val="22"/>
        </w:rPr>
        <w:t xml:space="preserve"> los impuestos</w:t>
      </w:r>
      <w:r w:rsidR="00B15319">
        <w:rPr>
          <w:rFonts w:cs="Times New Roman"/>
          <w:szCs w:val="22"/>
        </w:rPr>
        <w:t>, que</w:t>
      </w:r>
      <w:r w:rsidRPr="00DB556E">
        <w:rPr>
          <w:rFonts w:cs="Times New Roman"/>
          <w:szCs w:val="22"/>
        </w:rPr>
        <w:t xml:space="preserve"> </w:t>
      </w:r>
      <w:r w:rsidR="00FA6423">
        <w:rPr>
          <w:rFonts w:cs="Times New Roman"/>
          <w:szCs w:val="22"/>
        </w:rPr>
        <w:t xml:space="preserve">a junio alcanzaron una variación </w:t>
      </w:r>
      <w:r w:rsidR="00F236A1" w:rsidRPr="00DB556E">
        <w:rPr>
          <w:rFonts w:cs="Times New Roman"/>
          <w:szCs w:val="22"/>
        </w:rPr>
        <w:t xml:space="preserve">interanual del </w:t>
      </w:r>
      <w:r w:rsidR="002019BE">
        <w:rPr>
          <w:rFonts w:cs="Times New Roman"/>
          <w:szCs w:val="22"/>
        </w:rPr>
        <w:t>17</w:t>
      </w:r>
      <w:r w:rsidR="00F236A1" w:rsidRPr="00DB556E">
        <w:rPr>
          <w:rFonts w:cs="Times New Roman"/>
          <w:szCs w:val="22"/>
        </w:rPr>
        <w:t>.</w:t>
      </w:r>
      <w:r w:rsidR="002019BE">
        <w:rPr>
          <w:rFonts w:cs="Times New Roman"/>
          <w:szCs w:val="22"/>
        </w:rPr>
        <w:t>4</w:t>
      </w:r>
      <w:r w:rsidR="00F236A1" w:rsidRPr="00DB556E">
        <w:rPr>
          <w:rFonts w:cs="Times New Roman"/>
          <w:szCs w:val="22"/>
        </w:rPr>
        <w:t>% (</w:t>
      </w:r>
      <w:r w:rsidR="00B43CB7" w:rsidRPr="00DB556E">
        <w:rPr>
          <w:rFonts w:cs="Times New Roman"/>
          <w:szCs w:val="22"/>
        </w:rPr>
        <w:t>Q</w:t>
      </w:r>
      <w:r w:rsidR="002019BE">
        <w:rPr>
          <w:rFonts w:cs="Times New Roman"/>
          <w:szCs w:val="22"/>
        </w:rPr>
        <w:t>6</w:t>
      </w:r>
      <w:r w:rsidR="00D961D8" w:rsidRPr="00DB556E">
        <w:rPr>
          <w:rFonts w:cs="Times New Roman"/>
          <w:szCs w:val="22"/>
        </w:rPr>
        <w:t>,</w:t>
      </w:r>
      <w:r w:rsidR="002019BE">
        <w:rPr>
          <w:rFonts w:cs="Times New Roman"/>
          <w:szCs w:val="22"/>
        </w:rPr>
        <w:t>212</w:t>
      </w:r>
      <w:r w:rsidR="00D961D8" w:rsidRPr="00DB556E">
        <w:rPr>
          <w:rFonts w:cs="Times New Roman"/>
          <w:szCs w:val="22"/>
        </w:rPr>
        <w:t>.</w:t>
      </w:r>
      <w:r w:rsidR="002019BE">
        <w:rPr>
          <w:rFonts w:cs="Times New Roman"/>
          <w:szCs w:val="22"/>
        </w:rPr>
        <w:t>4</w:t>
      </w:r>
      <w:r w:rsidR="00D961D8" w:rsidRPr="00DB556E">
        <w:rPr>
          <w:rFonts w:cs="Times New Roman"/>
          <w:szCs w:val="22"/>
        </w:rPr>
        <w:t xml:space="preserve"> millones)</w:t>
      </w:r>
      <w:r w:rsidR="00C9397E" w:rsidRPr="00DB556E">
        <w:rPr>
          <w:rFonts w:cs="Times New Roman"/>
          <w:szCs w:val="22"/>
        </w:rPr>
        <w:t xml:space="preserve"> seguido de la categoría de otros ingresos </w:t>
      </w:r>
      <w:r w:rsidR="002019BE">
        <w:rPr>
          <w:rFonts w:cs="Times New Roman"/>
          <w:szCs w:val="22"/>
        </w:rPr>
        <w:t>los cuales tienen un crecimiento del</w:t>
      </w:r>
      <w:r w:rsidR="00C9397E" w:rsidRPr="00DB556E">
        <w:rPr>
          <w:rFonts w:cs="Times New Roman"/>
          <w:szCs w:val="22"/>
        </w:rPr>
        <w:t xml:space="preserve"> </w:t>
      </w:r>
      <w:r w:rsidR="000E4E2E" w:rsidRPr="00DB556E">
        <w:rPr>
          <w:rFonts w:cs="Times New Roman"/>
          <w:szCs w:val="22"/>
        </w:rPr>
        <w:t>1</w:t>
      </w:r>
      <w:r w:rsidR="00263E7C">
        <w:rPr>
          <w:rFonts w:cs="Times New Roman"/>
          <w:szCs w:val="22"/>
        </w:rPr>
        <w:t>4</w:t>
      </w:r>
      <w:r w:rsidR="000E4E2E" w:rsidRPr="00DB556E">
        <w:rPr>
          <w:rFonts w:cs="Times New Roman"/>
          <w:szCs w:val="22"/>
        </w:rPr>
        <w:t>.</w:t>
      </w:r>
      <w:r w:rsidR="00263E7C">
        <w:rPr>
          <w:rFonts w:cs="Times New Roman"/>
          <w:szCs w:val="22"/>
        </w:rPr>
        <w:t>9</w:t>
      </w:r>
      <w:r w:rsidR="000E4E2E" w:rsidRPr="00DB556E">
        <w:rPr>
          <w:rFonts w:cs="Times New Roman"/>
          <w:szCs w:val="22"/>
        </w:rPr>
        <w:t>% (Q</w:t>
      </w:r>
      <w:r w:rsidR="00263E7C">
        <w:rPr>
          <w:rFonts w:cs="Times New Roman"/>
          <w:szCs w:val="22"/>
        </w:rPr>
        <w:t>14</w:t>
      </w:r>
      <w:r w:rsidR="007C14A5">
        <w:rPr>
          <w:rFonts w:cs="Times New Roman"/>
          <w:szCs w:val="22"/>
        </w:rPr>
        <w:t>4</w:t>
      </w:r>
      <w:r w:rsidR="00263E7C">
        <w:rPr>
          <w:rFonts w:cs="Times New Roman"/>
          <w:szCs w:val="22"/>
        </w:rPr>
        <w:t>.</w:t>
      </w:r>
      <w:r w:rsidR="007C14A5">
        <w:rPr>
          <w:rFonts w:cs="Times New Roman"/>
          <w:szCs w:val="22"/>
        </w:rPr>
        <w:t>4</w:t>
      </w:r>
      <w:r w:rsidR="000E4E2E" w:rsidRPr="00DB556E">
        <w:rPr>
          <w:rFonts w:cs="Times New Roman"/>
          <w:szCs w:val="22"/>
        </w:rPr>
        <w:t xml:space="preserve"> millones) y las contribuciones sociales </w:t>
      </w:r>
      <w:r w:rsidR="00A22C8F">
        <w:rPr>
          <w:rFonts w:cs="Times New Roman"/>
          <w:szCs w:val="22"/>
        </w:rPr>
        <w:t>han aument</w:t>
      </w:r>
      <w:r w:rsidR="00557348">
        <w:rPr>
          <w:rFonts w:cs="Times New Roman"/>
          <w:szCs w:val="22"/>
        </w:rPr>
        <w:t>ado</w:t>
      </w:r>
      <w:r w:rsidR="00A22C8F">
        <w:rPr>
          <w:rFonts w:cs="Times New Roman"/>
          <w:szCs w:val="22"/>
        </w:rPr>
        <w:t xml:space="preserve"> en 0</w:t>
      </w:r>
      <w:r w:rsidR="004960E0" w:rsidRPr="00DB556E">
        <w:rPr>
          <w:rFonts w:cs="Times New Roman"/>
          <w:szCs w:val="22"/>
        </w:rPr>
        <w:t>.</w:t>
      </w:r>
      <w:r w:rsidR="00A22C8F">
        <w:rPr>
          <w:rFonts w:cs="Times New Roman"/>
          <w:szCs w:val="22"/>
        </w:rPr>
        <w:t>7</w:t>
      </w:r>
      <w:r w:rsidR="004960E0" w:rsidRPr="00DB556E">
        <w:rPr>
          <w:rFonts w:cs="Times New Roman"/>
          <w:szCs w:val="22"/>
        </w:rPr>
        <w:t>% (Q</w:t>
      </w:r>
      <w:r w:rsidR="00A22C8F">
        <w:rPr>
          <w:rFonts w:cs="Times New Roman"/>
          <w:szCs w:val="22"/>
        </w:rPr>
        <w:t>15</w:t>
      </w:r>
      <w:r w:rsidR="004960E0" w:rsidRPr="00DB556E">
        <w:rPr>
          <w:rFonts w:cs="Times New Roman"/>
          <w:szCs w:val="22"/>
        </w:rPr>
        <w:t>.</w:t>
      </w:r>
      <w:r w:rsidR="00A22C8F">
        <w:rPr>
          <w:rFonts w:cs="Times New Roman"/>
          <w:szCs w:val="22"/>
        </w:rPr>
        <w:t>8</w:t>
      </w:r>
      <w:r w:rsidR="004960E0" w:rsidRPr="00DB556E">
        <w:rPr>
          <w:rFonts w:cs="Times New Roman"/>
          <w:szCs w:val="22"/>
        </w:rPr>
        <w:t xml:space="preserve"> millones)</w:t>
      </w:r>
      <w:r w:rsidR="00A22C8F">
        <w:rPr>
          <w:rFonts w:cs="Times New Roman"/>
          <w:szCs w:val="22"/>
        </w:rPr>
        <w:t xml:space="preserve">. Por su parte, </w:t>
      </w:r>
      <w:r w:rsidR="004960E0" w:rsidRPr="00DB556E">
        <w:rPr>
          <w:rFonts w:cs="Times New Roman"/>
          <w:szCs w:val="22"/>
        </w:rPr>
        <w:t xml:space="preserve">las donaciones disminuyeron en </w:t>
      </w:r>
      <w:r w:rsidR="00457B47">
        <w:rPr>
          <w:rFonts w:cs="Times New Roman"/>
          <w:szCs w:val="22"/>
        </w:rPr>
        <w:t>41</w:t>
      </w:r>
      <w:r w:rsidR="008663E4" w:rsidRPr="00DB556E">
        <w:rPr>
          <w:rFonts w:cs="Times New Roman"/>
          <w:szCs w:val="22"/>
        </w:rPr>
        <w:t>.</w:t>
      </w:r>
      <w:r w:rsidR="00457B47">
        <w:rPr>
          <w:rFonts w:cs="Times New Roman"/>
          <w:szCs w:val="22"/>
        </w:rPr>
        <w:t>8</w:t>
      </w:r>
      <w:r w:rsidR="008663E4" w:rsidRPr="00DB556E">
        <w:rPr>
          <w:rFonts w:cs="Times New Roman"/>
          <w:szCs w:val="22"/>
        </w:rPr>
        <w:t>% (Q</w:t>
      </w:r>
      <w:r w:rsidR="00457B47">
        <w:rPr>
          <w:rFonts w:cs="Times New Roman"/>
          <w:szCs w:val="22"/>
        </w:rPr>
        <w:t>31</w:t>
      </w:r>
      <w:r w:rsidR="008663E4" w:rsidRPr="00DB556E">
        <w:rPr>
          <w:rFonts w:cs="Times New Roman"/>
          <w:szCs w:val="22"/>
        </w:rPr>
        <w:t>.</w:t>
      </w:r>
      <w:r w:rsidR="00457B47">
        <w:rPr>
          <w:rFonts w:cs="Times New Roman"/>
          <w:szCs w:val="22"/>
        </w:rPr>
        <w:t>8</w:t>
      </w:r>
      <w:r w:rsidR="008663E4" w:rsidRPr="00DB556E">
        <w:rPr>
          <w:rFonts w:cs="Times New Roman"/>
          <w:szCs w:val="22"/>
        </w:rPr>
        <w:t xml:space="preserve"> millones).</w:t>
      </w:r>
    </w:p>
    <w:p w14:paraId="3C8D73F7" w14:textId="77777777" w:rsidR="00D550B4" w:rsidRPr="00DB556E" w:rsidRDefault="00D550B4" w:rsidP="00CD34D6">
      <w:pPr>
        <w:rPr>
          <w:rFonts w:cs="Times New Roman"/>
          <w:szCs w:val="22"/>
        </w:rPr>
      </w:pPr>
      <w:r w:rsidRPr="00DB556E">
        <w:rPr>
          <w:noProof/>
          <w:lang w:eastAsia="es-GT"/>
        </w:rPr>
        <w:drawing>
          <wp:inline distT="0" distB="0" distL="0" distR="0" wp14:anchorId="0B894B39" wp14:editId="52EB594D">
            <wp:extent cx="5971540" cy="1711234"/>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69E6E" w14:textId="77777777" w:rsidR="00D550B4" w:rsidRPr="00DB556E" w:rsidRDefault="00D550B4" w:rsidP="00D550B4">
      <w:pPr>
        <w:pStyle w:val="Prrafodelista"/>
        <w:ind w:left="0"/>
        <w:jc w:val="left"/>
      </w:pPr>
      <w:r w:rsidRPr="00DB556E">
        <w:t>*Cifras preliminares</w:t>
      </w:r>
    </w:p>
    <w:p w14:paraId="28189151" w14:textId="77777777" w:rsidR="00D550B4" w:rsidRPr="00DB556E" w:rsidRDefault="00D550B4" w:rsidP="00D550B4">
      <w:pPr>
        <w:pStyle w:val="Prrafodelista"/>
        <w:ind w:left="0"/>
        <w:jc w:val="left"/>
      </w:pPr>
      <w:r w:rsidRPr="00DB556E">
        <w:t xml:space="preserve"> Fuente: MINFIN</w:t>
      </w:r>
    </w:p>
    <w:p w14:paraId="518BA279" w14:textId="645368F4" w:rsidR="00E66A98" w:rsidRPr="00DB556E" w:rsidRDefault="0027790A"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7" w:name="_Toc110237429"/>
      <w:r w:rsidRPr="00DB556E">
        <w:rPr>
          <w:rFonts w:ascii="Times New Roman" w:hAnsi="Times New Roman" w:cs="Times New Roman"/>
          <w:color w:val="auto"/>
          <w:sz w:val="24"/>
        </w:rPr>
        <w:lastRenderedPageBreak/>
        <w:t xml:space="preserve">Los </w:t>
      </w:r>
      <w:r w:rsidR="00962437" w:rsidRPr="00DB556E">
        <w:rPr>
          <w:rFonts w:ascii="Times New Roman" w:hAnsi="Times New Roman" w:cs="Times New Roman"/>
          <w:color w:val="auto"/>
          <w:sz w:val="24"/>
        </w:rPr>
        <w:t>i</w:t>
      </w:r>
      <w:r w:rsidRPr="00DB556E">
        <w:rPr>
          <w:rFonts w:ascii="Times New Roman" w:hAnsi="Times New Roman" w:cs="Times New Roman"/>
          <w:color w:val="auto"/>
          <w:sz w:val="24"/>
        </w:rPr>
        <w:t xml:space="preserve">mpuestos </w:t>
      </w:r>
      <w:r w:rsidR="00186F1E">
        <w:rPr>
          <w:rFonts w:ascii="Times New Roman" w:hAnsi="Times New Roman" w:cs="Times New Roman"/>
          <w:color w:val="auto"/>
          <w:sz w:val="24"/>
        </w:rPr>
        <w:t>continúan con su buen dinamismo</w:t>
      </w:r>
      <w:bookmarkEnd w:id="47"/>
    </w:p>
    <w:p w14:paraId="74E4D1D2" w14:textId="00015F85" w:rsidR="00273108" w:rsidRPr="00DB556E" w:rsidRDefault="009C66EC" w:rsidP="00B304F3">
      <w:pPr>
        <w:pStyle w:val="Prrafodelista"/>
        <w:ind w:left="0"/>
        <w:rPr>
          <w:sz w:val="22"/>
        </w:rPr>
      </w:pPr>
      <w:r w:rsidRPr="00DC74C2">
        <w:rPr>
          <w:noProof/>
          <w:sz w:val="22"/>
          <w:lang w:eastAsia="es-GT"/>
        </w:rPr>
        <w:drawing>
          <wp:anchor distT="0" distB="0" distL="114300" distR="114300" simplePos="0" relativeHeight="251665412" behindDoc="0" locked="0" layoutInCell="1" allowOverlap="1" wp14:anchorId="1026A945" wp14:editId="10127381">
            <wp:simplePos x="0" y="0"/>
            <wp:positionH relativeFrom="margin">
              <wp:align>right</wp:align>
            </wp:positionH>
            <wp:positionV relativeFrom="paragraph">
              <wp:posOffset>4263</wp:posOffset>
            </wp:positionV>
            <wp:extent cx="3051810" cy="4160520"/>
            <wp:effectExtent l="0" t="0" r="0" b="1143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6B43EC">
        <w:rPr>
          <w:sz w:val="22"/>
        </w:rPr>
        <w:t>Los ingresos producto de impuestos se sitúan al finalizar el segundo trimestre entorno a los Q</w:t>
      </w:r>
      <w:r w:rsidR="0048425C">
        <w:rPr>
          <w:sz w:val="22"/>
        </w:rPr>
        <w:t xml:space="preserve">41,843.9 millones con </w:t>
      </w:r>
      <w:r w:rsidR="00CF709E" w:rsidRPr="00DB556E">
        <w:rPr>
          <w:sz w:val="22"/>
        </w:rPr>
        <w:t>un incremento interanual de 1</w:t>
      </w:r>
      <w:r w:rsidR="0048425C">
        <w:rPr>
          <w:sz w:val="22"/>
        </w:rPr>
        <w:t>7</w:t>
      </w:r>
      <w:r w:rsidR="00CF709E" w:rsidRPr="00DB556E">
        <w:rPr>
          <w:sz w:val="22"/>
        </w:rPr>
        <w:t>.</w:t>
      </w:r>
      <w:r w:rsidR="0048425C">
        <w:rPr>
          <w:sz w:val="22"/>
        </w:rPr>
        <w:t>4</w:t>
      </w:r>
      <w:r w:rsidR="00CF709E" w:rsidRPr="00DB556E">
        <w:rPr>
          <w:sz w:val="22"/>
        </w:rPr>
        <w:t>% (Q</w:t>
      </w:r>
      <w:r w:rsidR="0048425C">
        <w:rPr>
          <w:sz w:val="22"/>
        </w:rPr>
        <w:t>6,212.4</w:t>
      </w:r>
      <w:r w:rsidR="00CF709E" w:rsidRPr="00DB556E">
        <w:rPr>
          <w:sz w:val="22"/>
        </w:rPr>
        <w:t xml:space="preserve"> millones)</w:t>
      </w:r>
      <w:r w:rsidR="0048425C">
        <w:rPr>
          <w:sz w:val="22"/>
        </w:rPr>
        <w:t>. L</w:t>
      </w:r>
      <w:r w:rsidR="00AA086B" w:rsidRPr="00DB556E">
        <w:rPr>
          <w:sz w:val="22"/>
        </w:rPr>
        <w:t xml:space="preserve">os impuestos por bienes y </w:t>
      </w:r>
      <w:r w:rsidR="004B2730" w:rsidRPr="00DB556E">
        <w:rPr>
          <w:sz w:val="22"/>
        </w:rPr>
        <w:t xml:space="preserve">servicios </w:t>
      </w:r>
      <w:r w:rsidR="005D3B41" w:rsidRPr="00DB556E">
        <w:rPr>
          <w:sz w:val="22"/>
        </w:rPr>
        <w:t>ascienden</w:t>
      </w:r>
      <w:r w:rsidR="000B20C3" w:rsidRPr="00DB556E">
        <w:rPr>
          <w:sz w:val="22"/>
        </w:rPr>
        <w:t xml:space="preserve"> a </w:t>
      </w:r>
      <w:r w:rsidR="006971D7" w:rsidRPr="00DB556E">
        <w:rPr>
          <w:sz w:val="22"/>
        </w:rPr>
        <w:t>Q</w:t>
      </w:r>
      <w:r w:rsidR="00CD1B3E" w:rsidRPr="00852265">
        <w:rPr>
          <w:sz w:val="22"/>
        </w:rPr>
        <w:t xml:space="preserve">24,399.5 </w:t>
      </w:r>
      <w:r w:rsidR="00CD1B3E" w:rsidRPr="00DB556E">
        <w:rPr>
          <w:sz w:val="22"/>
        </w:rPr>
        <w:t>millones</w:t>
      </w:r>
      <w:r w:rsidR="00852265">
        <w:rPr>
          <w:sz w:val="22"/>
        </w:rPr>
        <w:t xml:space="preserve"> </w:t>
      </w:r>
      <w:r w:rsidR="00131ABF">
        <w:rPr>
          <w:sz w:val="22"/>
        </w:rPr>
        <w:t>con</w:t>
      </w:r>
      <w:r w:rsidR="00852265">
        <w:rPr>
          <w:sz w:val="22"/>
        </w:rPr>
        <w:t xml:space="preserve"> un aumento </w:t>
      </w:r>
      <w:r w:rsidR="007441AA" w:rsidRPr="00DB556E">
        <w:rPr>
          <w:sz w:val="22"/>
        </w:rPr>
        <w:t>interanual de 1</w:t>
      </w:r>
      <w:r w:rsidR="00852265">
        <w:rPr>
          <w:sz w:val="22"/>
        </w:rPr>
        <w:t>5</w:t>
      </w:r>
      <w:r w:rsidR="007441AA" w:rsidRPr="00DB556E">
        <w:rPr>
          <w:sz w:val="22"/>
        </w:rPr>
        <w:t>.</w:t>
      </w:r>
      <w:r w:rsidR="00852265">
        <w:rPr>
          <w:sz w:val="22"/>
        </w:rPr>
        <w:t>9</w:t>
      </w:r>
      <w:r w:rsidR="007441AA" w:rsidRPr="00DB556E">
        <w:rPr>
          <w:sz w:val="22"/>
        </w:rPr>
        <w:t>%</w:t>
      </w:r>
      <w:r w:rsidR="00204580" w:rsidRPr="00DB556E">
        <w:rPr>
          <w:sz w:val="22"/>
        </w:rPr>
        <w:t xml:space="preserve"> (Q</w:t>
      </w:r>
      <w:r w:rsidR="00852265" w:rsidRPr="00852265">
        <w:rPr>
          <w:sz w:val="22"/>
        </w:rPr>
        <w:t>3,352.2</w:t>
      </w:r>
      <w:r w:rsidR="00852265">
        <w:rPr>
          <w:sz w:val="22"/>
        </w:rPr>
        <w:t xml:space="preserve"> </w:t>
      </w:r>
      <w:r w:rsidR="00204580" w:rsidRPr="00DB556E">
        <w:rPr>
          <w:sz w:val="22"/>
        </w:rPr>
        <w:t>millones)</w:t>
      </w:r>
      <w:r w:rsidR="00441BDC">
        <w:rPr>
          <w:sz w:val="22"/>
        </w:rPr>
        <w:t xml:space="preserve">, siendo el </w:t>
      </w:r>
      <w:r w:rsidR="00F21081" w:rsidRPr="00DB556E">
        <w:rPr>
          <w:sz w:val="22"/>
        </w:rPr>
        <w:t>I</w:t>
      </w:r>
      <w:r w:rsidR="00C37E2E" w:rsidRPr="00DB556E">
        <w:rPr>
          <w:sz w:val="22"/>
        </w:rPr>
        <w:t>mpuesto al</w:t>
      </w:r>
      <w:r w:rsidR="00F21081" w:rsidRPr="00DB556E">
        <w:rPr>
          <w:sz w:val="22"/>
        </w:rPr>
        <w:t xml:space="preserve"> V</w:t>
      </w:r>
      <w:r w:rsidR="00C37E2E" w:rsidRPr="00DB556E">
        <w:rPr>
          <w:sz w:val="22"/>
        </w:rPr>
        <w:t xml:space="preserve">alor </w:t>
      </w:r>
      <w:r w:rsidR="00F21081" w:rsidRPr="00DB556E">
        <w:rPr>
          <w:sz w:val="22"/>
        </w:rPr>
        <w:t>A</w:t>
      </w:r>
      <w:r w:rsidR="00C37E2E" w:rsidRPr="00DB556E">
        <w:rPr>
          <w:sz w:val="22"/>
        </w:rPr>
        <w:t>gregado</w:t>
      </w:r>
      <w:r w:rsidR="00D76D68" w:rsidRPr="00DB556E">
        <w:rPr>
          <w:sz w:val="22"/>
        </w:rPr>
        <w:t xml:space="preserve"> el </w:t>
      </w:r>
      <w:r w:rsidR="00C37E2E" w:rsidRPr="00DB556E">
        <w:rPr>
          <w:sz w:val="22"/>
        </w:rPr>
        <w:t>más</w:t>
      </w:r>
      <w:r w:rsidR="00D76D68" w:rsidRPr="00DB556E">
        <w:rPr>
          <w:sz w:val="22"/>
        </w:rPr>
        <w:t xml:space="preserve"> importante </w:t>
      </w:r>
      <w:r w:rsidR="00441BDC">
        <w:rPr>
          <w:sz w:val="22"/>
        </w:rPr>
        <w:t xml:space="preserve">en esta categoría </w:t>
      </w:r>
      <w:r w:rsidR="00557763" w:rsidRPr="00DB556E">
        <w:rPr>
          <w:sz w:val="22"/>
        </w:rPr>
        <w:t>con una recaudación acumulada de Q</w:t>
      </w:r>
      <w:r w:rsidR="001375AC" w:rsidRPr="001375AC">
        <w:rPr>
          <w:sz w:val="22"/>
        </w:rPr>
        <w:t xml:space="preserve">20,345.4 </w:t>
      </w:r>
      <w:r w:rsidR="0050785E" w:rsidRPr="00DB556E">
        <w:rPr>
          <w:sz w:val="22"/>
        </w:rPr>
        <w:t>millones</w:t>
      </w:r>
      <w:r w:rsidR="00131ABF">
        <w:rPr>
          <w:sz w:val="22"/>
        </w:rPr>
        <w:t xml:space="preserve"> y</w:t>
      </w:r>
      <w:r w:rsidR="001375AC">
        <w:rPr>
          <w:sz w:val="22"/>
        </w:rPr>
        <w:t xml:space="preserve"> una variación </w:t>
      </w:r>
      <w:r w:rsidR="0050785E" w:rsidRPr="00DB556E">
        <w:rPr>
          <w:sz w:val="22"/>
        </w:rPr>
        <w:t>de 1</w:t>
      </w:r>
      <w:r w:rsidR="001375AC">
        <w:rPr>
          <w:sz w:val="22"/>
        </w:rPr>
        <w:t>8</w:t>
      </w:r>
      <w:r w:rsidR="0050785E" w:rsidRPr="00DB556E">
        <w:rPr>
          <w:sz w:val="22"/>
        </w:rPr>
        <w:t>.</w:t>
      </w:r>
      <w:r w:rsidR="001375AC">
        <w:rPr>
          <w:sz w:val="22"/>
        </w:rPr>
        <w:t>6</w:t>
      </w:r>
      <w:r w:rsidR="0050785E" w:rsidRPr="00DB556E">
        <w:rPr>
          <w:sz w:val="22"/>
        </w:rPr>
        <w:t>% (Q</w:t>
      </w:r>
      <w:r w:rsidR="00B1471D" w:rsidRPr="001375AC">
        <w:rPr>
          <w:sz w:val="22"/>
        </w:rPr>
        <w:t>3,192.6</w:t>
      </w:r>
      <w:r w:rsidR="00B1471D">
        <w:rPr>
          <w:sz w:val="22"/>
        </w:rPr>
        <w:t xml:space="preserve"> millones</w:t>
      </w:r>
      <w:r w:rsidR="0050785E" w:rsidRPr="00DB556E">
        <w:rPr>
          <w:sz w:val="22"/>
        </w:rPr>
        <w:t>)</w:t>
      </w:r>
      <w:r w:rsidR="000410C1">
        <w:rPr>
          <w:sz w:val="22"/>
        </w:rPr>
        <w:t xml:space="preserve"> respecto a lo observado al mismo per</w:t>
      </w:r>
      <w:r w:rsidR="00557348">
        <w:rPr>
          <w:sz w:val="22"/>
        </w:rPr>
        <w:t>í</w:t>
      </w:r>
      <w:r w:rsidR="000410C1">
        <w:rPr>
          <w:sz w:val="22"/>
        </w:rPr>
        <w:t>odo del año previo</w:t>
      </w:r>
      <w:r w:rsidR="00E87208" w:rsidRPr="00DB556E">
        <w:rPr>
          <w:sz w:val="22"/>
        </w:rPr>
        <w:t xml:space="preserve">. </w:t>
      </w:r>
    </w:p>
    <w:p w14:paraId="09526BA4" w14:textId="77777777" w:rsidR="00343A1D" w:rsidRPr="00DB556E" w:rsidRDefault="00343A1D" w:rsidP="00B304F3">
      <w:pPr>
        <w:pStyle w:val="Prrafodelista"/>
        <w:ind w:left="0"/>
        <w:rPr>
          <w:sz w:val="22"/>
        </w:rPr>
      </w:pPr>
    </w:p>
    <w:p w14:paraId="39F819EB" w14:textId="5ED78B7E" w:rsidR="00A15AEB" w:rsidRPr="00DB556E" w:rsidRDefault="000410C1" w:rsidP="00F55D61">
      <w:r>
        <w:t>En cuanto a l</w:t>
      </w:r>
      <w:r w:rsidR="007F2F65" w:rsidRPr="00DB556E">
        <w:t>os impuestos sob</w:t>
      </w:r>
      <w:r w:rsidR="006166E9" w:rsidRPr="00DB556E">
        <w:t>r</w:t>
      </w:r>
      <w:r w:rsidR="007F2F65" w:rsidRPr="00DB556E">
        <w:t xml:space="preserve">e </w:t>
      </w:r>
      <w:r w:rsidR="00D91306" w:rsidRPr="00DB556E">
        <w:t xml:space="preserve">los </w:t>
      </w:r>
      <w:r w:rsidR="007F2F65" w:rsidRPr="00DB556E">
        <w:t>ingreso</w:t>
      </w:r>
      <w:r w:rsidR="00D91306" w:rsidRPr="00DB556E">
        <w:t>s</w:t>
      </w:r>
      <w:r w:rsidR="007F2F65" w:rsidRPr="00DB556E">
        <w:t>, las utilidades y las ganancias de capital</w:t>
      </w:r>
      <w:r w:rsidR="00B30B61">
        <w:t>,</w:t>
      </w:r>
      <w:r w:rsidR="000F7C74" w:rsidRPr="00DB556E">
        <w:t xml:space="preserve"> </w:t>
      </w:r>
      <w:r>
        <w:t xml:space="preserve">estos se sitúan en </w:t>
      </w:r>
      <w:r w:rsidR="00704686">
        <w:t>Q</w:t>
      </w:r>
      <w:r w:rsidR="00704686" w:rsidRPr="00704686">
        <w:t>15,243.5</w:t>
      </w:r>
      <w:r w:rsidR="00704686">
        <w:t xml:space="preserve"> </w:t>
      </w:r>
      <w:r w:rsidR="001F5A10" w:rsidRPr="00DB556E">
        <w:t>millones</w:t>
      </w:r>
      <w:r w:rsidR="00704686">
        <w:t xml:space="preserve"> logrando un crecimiento de</w:t>
      </w:r>
      <w:r w:rsidR="0028513C" w:rsidRPr="00DB556E">
        <w:t xml:space="preserve"> </w:t>
      </w:r>
      <w:r w:rsidR="007570EA" w:rsidRPr="00DB556E">
        <w:t>1</w:t>
      </w:r>
      <w:r w:rsidR="00704686">
        <w:t>9</w:t>
      </w:r>
      <w:r w:rsidR="007570EA" w:rsidRPr="00DB556E">
        <w:t>.</w:t>
      </w:r>
      <w:r w:rsidR="00704686">
        <w:t>9</w:t>
      </w:r>
      <w:r w:rsidR="007570EA" w:rsidRPr="00DB556E">
        <w:t xml:space="preserve">% </w:t>
      </w:r>
      <w:r w:rsidR="00F02A14" w:rsidRPr="00DB556E">
        <w:t>(Q</w:t>
      </w:r>
      <w:r w:rsidR="00704686" w:rsidRPr="00704686">
        <w:t xml:space="preserve"> 2,529.7 </w:t>
      </w:r>
      <w:r w:rsidR="00F02A14" w:rsidRPr="00DB556E">
        <w:t>millones</w:t>
      </w:r>
      <w:r w:rsidR="006166E9" w:rsidRPr="00DB556E">
        <w:t>)</w:t>
      </w:r>
      <w:r w:rsidR="00704686">
        <w:t xml:space="preserve"> con respecto a 202</w:t>
      </w:r>
      <w:r w:rsidR="00185191">
        <w:t>1</w:t>
      </w:r>
      <w:r w:rsidR="002B5BDD">
        <w:t>. En esta categoría son los aplicados</w:t>
      </w:r>
      <w:r w:rsidR="00302799" w:rsidRPr="00DB556E">
        <w:t xml:space="preserve"> </w:t>
      </w:r>
      <w:r w:rsidR="00B30B61">
        <w:t>a</w:t>
      </w:r>
      <w:r w:rsidR="00C67281" w:rsidRPr="00DB556E">
        <w:t xml:space="preserve"> </w:t>
      </w:r>
      <w:r w:rsidR="00302799" w:rsidRPr="00DB556E">
        <w:t>sociedades y otras empresas</w:t>
      </w:r>
      <w:r w:rsidR="00A162E9" w:rsidRPr="00DB556E">
        <w:t xml:space="preserve"> </w:t>
      </w:r>
      <w:r w:rsidR="00B44835">
        <w:t>los que muestran un incremento mayor de</w:t>
      </w:r>
      <w:r w:rsidR="00302799" w:rsidRPr="00DB556E">
        <w:t xml:space="preserve"> </w:t>
      </w:r>
      <w:r w:rsidR="00E92E38" w:rsidRPr="00DB556E">
        <w:t>1</w:t>
      </w:r>
      <w:r w:rsidR="002C4AFB">
        <w:t>9</w:t>
      </w:r>
      <w:r w:rsidR="00E92E38" w:rsidRPr="00DB556E">
        <w:t>.</w:t>
      </w:r>
      <w:r w:rsidR="002C4AFB">
        <w:t>9</w:t>
      </w:r>
      <w:r w:rsidR="00E92E38" w:rsidRPr="00DB556E">
        <w:t xml:space="preserve">% </w:t>
      </w:r>
      <w:r w:rsidR="000D2CF4" w:rsidRPr="00DB556E">
        <w:t>(</w:t>
      </w:r>
      <w:r w:rsidR="00EE1921" w:rsidRPr="00DB556E">
        <w:t>Q</w:t>
      </w:r>
      <w:r w:rsidR="002C4AFB">
        <w:t>2,221</w:t>
      </w:r>
      <w:r w:rsidR="00E403F0" w:rsidRPr="00DB556E">
        <w:t>.</w:t>
      </w:r>
      <w:r w:rsidR="00893F4C">
        <w:t>7</w:t>
      </w:r>
      <w:r w:rsidR="00EE1921" w:rsidRPr="00DB556E">
        <w:t xml:space="preserve"> millones</w:t>
      </w:r>
      <w:r w:rsidR="00E0519B" w:rsidRPr="00DB556E">
        <w:t>)</w:t>
      </w:r>
      <w:r w:rsidR="00CE53F2" w:rsidRPr="00DB556E">
        <w:t xml:space="preserve"> </w:t>
      </w:r>
      <w:r w:rsidR="002C4AFB">
        <w:t>y alcanzando en términos acumulados los Q</w:t>
      </w:r>
      <w:r w:rsidR="004903E1" w:rsidRPr="004903E1">
        <w:t>13,372.</w:t>
      </w:r>
      <w:r w:rsidR="0031721F">
        <w:t>2</w:t>
      </w:r>
      <w:r w:rsidR="004903E1">
        <w:t xml:space="preserve"> millones</w:t>
      </w:r>
      <w:r w:rsidR="004903E1" w:rsidRPr="004903E1">
        <w:t xml:space="preserve"> </w:t>
      </w:r>
      <w:r w:rsidR="00E92E38" w:rsidRPr="00DB556E">
        <w:t>mientras que los</w:t>
      </w:r>
      <w:r w:rsidR="00CE53F2" w:rsidRPr="00DB556E">
        <w:t xml:space="preserve"> pagad</w:t>
      </w:r>
      <w:r w:rsidR="00973E7F">
        <w:t>o</w:t>
      </w:r>
      <w:r w:rsidR="00CE53F2" w:rsidRPr="00DB556E">
        <w:t xml:space="preserve">s por personas físicas </w:t>
      </w:r>
      <w:r w:rsidR="00BF268E" w:rsidRPr="00DB556E">
        <w:t>aument</w:t>
      </w:r>
      <w:r w:rsidR="007F32FE">
        <w:t>aron en</w:t>
      </w:r>
      <w:r w:rsidR="00CE53F2" w:rsidRPr="00DB556E">
        <w:t xml:space="preserve"> </w:t>
      </w:r>
      <w:r w:rsidR="007F32FE">
        <w:t>19.7</w:t>
      </w:r>
      <w:r w:rsidR="00F651B3" w:rsidRPr="00DB556E">
        <w:t>% (</w:t>
      </w:r>
      <w:r w:rsidR="0014747D" w:rsidRPr="00DB556E">
        <w:t>Q</w:t>
      </w:r>
      <w:r w:rsidR="007F32FE">
        <w:t>308.0</w:t>
      </w:r>
      <w:r w:rsidR="00F651B3" w:rsidRPr="00DB556E">
        <w:t xml:space="preserve"> millones)</w:t>
      </w:r>
      <w:r w:rsidR="00A37985" w:rsidRPr="00DB556E">
        <w:t xml:space="preserve"> respecto al mismo periodo del año previo</w:t>
      </w:r>
      <w:r w:rsidR="007F32FE">
        <w:t xml:space="preserve"> y una </w:t>
      </w:r>
      <w:r w:rsidR="001B2897">
        <w:t>recaudación</w:t>
      </w:r>
      <w:r w:rsidR="007F32FE">
        <w:t xml:space="preserve"> total de </w:t>
      </w:r>
      <w:r w:rsidR="001B2897">
        <w:t>Q1,871.3 millones</w:t>
      </w:r>
      <w:r w:rsidR="00EE1921" w:rsidRPr="00DB556E">
        <w:t>.</w:t>
      </w:r>
    </w:p>
    <w:p w14:paraId="7E070DB5" w14:textId="77777777" w:rsidR="009D7455" w:rsidRPr="00DB556E" w:rsidRDefault="009D7455" w:rsidP="00F55D61"/>
    <w:p w14:paraId="6FA5C193" w14:textId="5F65ABF1" w:rsidR="00DC178E" w:rsidRPr="00DB556E" w:rsidRDefault="00B75E04" w:rsidP="006B682E">
      <w:r>
        <w:t xml:space="preserve">Los </w:t>
      </w:r>
      <w:r w:rsidRPr="00DB556E">
        <w:t>impuestos</w:t>
      </w:r>
      <w:r w:rsidR="00FD07D3" w:rsidRPr="00DB556E">
        <w:t xml:space="preserve"> </w:t>
      </w:r>
      <w:r w:rsidR="00DA24D1" w:rsidRPr="00DB556E">
        <w:t>sobre el</w:t>
      </w:r>
      <w:r w:rsidR="00AD6572" w:rsidRPr="00DB556E">
        <w:t xml:space="preserve"> comercio y las transacciones internacionales</w:t>
      </w:r>
      <w:r w:rsidR="00DA24D1" w:rsidRPr="00DB556E">
        <w:t xml:space="preserve"> </w:t>
      </w:r>
      <w:r>
        <w:t xml:space="preserve">al finalizar </w:t>
      </w:r>
      <w:r w:rsidR="00375BE9">
        <w:t xml:space="preserve">son </w:t>
      </w:r>
      <w:r w:rsidR="00DA24D1" w:rsidRPr="00DB556E">
        <w:t>Q</w:t>
      </w:r>
      <w:r w:rsidR="00375BE9" w:rsidRPr="00375BE9">
        <w:t xml:space="preserve">1,889.3 </w:t>
      </w:r>
      <w:r w:rsidR="00DA24D1" w:rsidRPr="00DB556E">
        <w:t>millones</w:t>
      </w:r>
      <w:r w:rsidR="00375BE9">
        <w:t xml:space="preserve"> teniendo un</w:t>
      </w:r>
      <w:r w:rsidR="003A14EF" w:rsidRPr="00DB556E">
        <w:t xml:space="preserve"> </w:t>
      </w:r>
      <w:r w:rsidR="004D022B" w:rsidRPr="00DB556E">
        <w:t>crecimiento d</w:t>
      </w:r>
      <w:r w:rsidR="00B54633" w:rsidRPr="00DB556E">
        <w:t xml:space="preserve">e </w:t>
      </w:r>
      <w:r w:rsidR="00375BE9">
        <w:t>17</w:t>
      </w:r>
      <w:r w:rsidR="00EB564D" w:rsidRPr="00DB556E">
        <w:t>.</w:t>
      </w:r>
      <w:r w:rsidR="00D763BD">
        <w:t>7</w:t>
      </w:r>
      <w:r w:rsidR="008035D0" w:rsidRPr="00DB556E">
        <w:t>% (Q</w:t>
      </w:r>
      <w:r w:rsidR="00D763BD">
        <w:t>284.3</w:t>
      </w:r>
      <w:r w:rsidR="008035D0" w:rsidRPr="00DB556E">
        <w:t xml:space="preserve"> millones)</w:t>
      </w:r>
      <w:r w:rsidR="00D763BD">
        <w:t>.</w:t>
      </w:r>
      <w:r w:rsidR="00CA5924" w:rsidRPr="00DB556E">
        <w:t xml:space="preserve"> </w:t>
      </w:r>
      <w:r w:rsidR="00D763BD">
        <w:t xml:space="preserve">Dentro de este grupo, se encuentran los </w:t>
      </w:r>
      <w:r w:rsidR="00DC178E" w:rsidRPr="00DB556E">
        <w:t>derechos de aduanas y otros derechos</w:t>
      </w:r>
      <w:r w:rsidR="003455A3" w:rsidRPr="00DB556E">
        <w:t xml:space="preserve"> </w:t>
      </w:r>
      <w:r w:rsidR="00DC178E" w:rsidRPr="00DB556E">
        <w:t xml:space="preserve">de </w:t>
      </w:r>
      <w:r w:rsidR="0019663D" w:rsidRPr="00DB556E">
        <w:t xml:space="preserve">importación </w:t>
      </w:r>
      <w:r w:rsidR="002647BF" w:rsidRPr="00DB556E">
        <w:t>(</w:t>
      </w:r>
      <w:r w:rsidR="0019663D" w:rsidRPr="00DB556E">
        <w:t>que</w:t>
      </w:r>
      <w:r w:rsidR="0042579B" w:rsidRPr="00DB556E">
        <w:t xml:space="preserve"> </w:t>
      </w:r>
      <w:r w:rsidR="00E0491A" w:rsidRPr="00DB556E">
        <w:t xml:space="preserve">contiene </w:t>
      </w:r>
      <w:r w:rsidR="0042579B" w:rsidRPr="00DB556E">
        <w:t>al</w:t>
      </w:r>
      <w:r w:rsidR="00E0491A" w:rsidRPr="00DB556E">
        <w:t xml:space="preserve"> </w:t>
      </w:r>
      <w:r w:rsidR="00E753D2" w:rsidRPr="00DB556E">
        <w:t>DAI</w:t>
      </w:r>
      <w:r w:rsidR="002647BF" w:rsidRPr="00DB556E">
        <w:t>)</w:t>
      </w:r>
      <w:r w:rsidR="001C2DA4" w:rsidRPr="00DB556E">
        <w:t xml:space="preserve">, </w:t>
      </w:r>
      <w:r w:rsidR="00367118">
        <w:t xml:space="preserve">y estos ascienden a </w:t>
      </w:r>
      <w:r w:rsidR="001C2DA4" w:rsidRPr="00DB556E">
        <w:t>Q</w:t>
      </w:r>
      <w:r w:rsidR="00437689">
        <w:t>1,739.4</w:t>
      </w:r>
      <w:r w:rsidR="001C2DA4" w:rsidRPr="00DB556E">
        <w:t xml:space="preserve"> millones </w:t>
      </w:r>
      <w:r w:rsidR="00437689">
        <w:t>con una tasa de variación interanual de 14.2% (</w:t>
      </w:r>
      <w:r w:rsidR="000C18E5" w:rsidRPr="00DB556E">
        <w:t>Q</w:t>
      </w:r>
      <w:r w:rsidR="001565F1">
        <w:t>215</w:t>
      </w:r>
      <w:r w:rsidR="000C18E5" w:rsidRPr="00DB556E">
        <w:t>.</w:t>
      </w:r>
      <w:r w:rsidR="00DE39EC">
        <w:t>8</w:t>
      </w:r>
      <w:r w:rsidR="000C18E5" w:rsidRPr="00DB556E">
        <w:t xml:space="preserve"> millones)</w:t>
      </w:r>
      <w:r w:rsidR="001565F1">
        <w:t xml:space="preserve"> mientras que los o</w:t>
      </w:r>
      <w:r w:rsidR="00682E00">
        <w:t xml:space="preserve">tros impuestos sobre el comercio y las transacciones internacionales ascendieron a Q149.9 millones con una variación de </w:t>
      </w:r>
      <w:r w:rsidR="00362475">
        <w:t>84.2% (Q68.5 millones)</w:t>
      </w:r>
      <w:r w:rsidR="009E74F4" w:rsidRPr="00DB556E">
        <w:t xml:space="preserve">. </w:t>
      </w:r>
    </w:p>
    <w:p w14:paraId="4500291A" w14:textId="77777777" w:rsidR="00DC178E" w:rsidRPr="00DB556E" w:rsidRDefault="00DC178E" w:rsidP="006B682E"/>
    <w:p w14:paraId="3235984C" w14:textId="12627887" w:rsidR="00477C22" w:rsidRPr="00DB556E" w:rsidRDefault="00885D57" w:rsidP="006B682E">
      <w:r>
        <w:t>Por su parte, la categoría de</w:t>
      </w:r>
      <w:r w:rsidR="00F4416B" w:rsidRPr="00DB556E">
        <w:t xml:space="preserve"> Otros impuestos recaudó</w:t>
      </w:r>
      <w:r w:rsidR="002F6936" w:rsidRPr="00DB556E">
        <w:t xml:space="preserve"> </w:t>
      </w:r>
      <w:r>
        <w:t xml:space="preserve">en la primera mitad del año </w:t>
      </w:r>
      <w:r w:rsidR="0014747D" w:rsidRPr="00DB556E">
        <w:t>Q</w:t>
      </w:r>
      <w:r w:rsidR="00D85EDE">
        <w:t>294.2</w:t>
      </w:r>
      <w:r w:rsidR="00E602E2" w:rsidRPr="00DB556E">
        <w:t xml:space="preserve"> millones </w:t>
      </w:r>
      <w:r w:rsidR="00D85EDE">
        <w:t>y siendo un incremento de</w:t>
      </w:r>
      <w:r w:rsidR="00957B4D">
        <w:t xml:space="preserve"> </w:t>
      </w:r>
      <w:r w:rsidR="00C85203">
        <w:t>1</w:t>
      </w:r>
      <w:r w:rsidR="00DD1AD5">
        <w:t>5.5%</w:t>
      </w:r>
      <w:r w:rsidR="00E602E2" w:rsidRPr="00DB556E">
        <w:t xml:space="preserve"> (Q</w:t>
      </w:r>
      <w:r w:rsidR="00DD1AD5">
        <w:t>39.5</w:t>
      </w:r>
      <w:r w:rsidR="002E350E" w:rsidRPr="00DB556E">
        <w:t xml:space="preserve"> </w:t>
      </w:r>
      <w:r w:rsidR="004C1ECC" w:rsidRPr="00DB556E">
        <w:t>millones) mientras</w:t>
      </w:r>
      <w:r w:rsidR="00305645" w:rsidRPr="00DB556E">
        <w:t xml:space="preserve"> que </w:t>
      </w:r>
      <w:r w:rsidR="00477C22" w:rsidRPr="00DB556E">
        <w:t xml:space="preserve">los impuestos </w:t>
      </w:r>
      <w:r w:rsidR="00066095" w:rsidRPr="00DB556E">
        <w:t>sobre la propiedad</w:t>
      </w:r>
      <w:r w:rsidR="00D20A4A" w:rsidRPr="00DB556E">
        <w:t xml:space="preserve"> </w:t>
      </w:r>
      <w:r w:rsidR="005C007F">
        <w:t>ascienden a</w:t>
      </w:r>
      <w:r w:rsidR="004C1ECC" w:rsidRPr="00DB556E">
        <w:t xml:space="preserve"> </w:t>
      </w:r>
      <w:r w:rsidR="0004120F" w:rsidRPr="00DB556E">
        <w:t>Q</w:t>
      </w:r>
      <w:r w:rsidR="004C1ECC" w:rsidRPr="00DB556E">
        <w:t>1</w:t>
      </w:r>
      <w:r w:rsidR="00352C6C">
        <w:t>7</w:t>
      </w:r>
      <w:r w:rsidR="004C1ECC" w:rsidRPr="00DB556E">
        <w:t>.</w:t>
      </w:r>
      <w:r w:rsidR="00352C6C">
        <w:t>4</w:t>
      </w:r>
      <w:r w:rsidR="00D20A4A" w:rsidRPr="00DB556E">
        <w:t xml:space="preserve"> millones con una variación de </w:t>
      </w:r>
      <w:r w:rsidR="00352C6C">
        <w:t>62</w:t>
      </w:r>
      <w:r w:rsidR="003A75FE" w:rsidRPr="00DB556E">
        <w:t>.</w:t>
      </w:r>
      <w:r w:rsidR="00352C6C">
        <w:t>2</w:t>
      </w:r>
      <w:r w:rsidR="002453DC" w:rsidRPr="00DB556E">
        <w:t xml:space="preserve">% </w:t>
      </w:r>
      <w:r w:rsidR="00D20A4A" w:rsidRPr="00DB556E">
        <w:t>(Q</w:t>
      </w:r>
      <w:r w:rsidR="007D566B">
        <w:t>6.7</w:t>
      </w:r>
      <w:r w:rsidR="00D20A4A" w:rsidRPr="00DB556E">
        <w:t xml:space="preserve"> millones)</w:t>
      </w:r>
      <w:r w:rsidR="00AA32B8" w:rsidRPr="00DB556E">
        <w:t xml:space="preserve"> respecto al año previo</w:t>
      </w:r>
      <w:r w:rsidR="002E350E" w:rsidRPr="00DB556E">
        <w:t>.</w:t>
      </w:r>
    </w:p>
    <w:p w14:paraId="4D206AE2" w14:textId="77777777" w:rsidR="003A75FE" w:rsidRPr="00DB556E" w:rsidRDefault="003A75FE" w:rsidP="006B682E"/>
    <w:p w14:paraId="6FB140AE" w14:textId="21B3825B" w:rsidR="003A75FE" w:rsidRPr="00DB556E" w:rsidRDefault="000E08B2" w:rsidP="006B682E">
      <w:r>
        <w:t xml:space="preserve">Es oportuno mencionar que </w:t>
      </w:r>
      <w:r w:rsidR="004552FA">
        <w:t xml:space="preserve">en buena medida </w:t>
      </w:r>
      <w:r>
        <w:t>e</w:t>
      </w:r>
      <w:r w:rsidRPr="000E08B2">
        <w:t xml:space="preserve">l ritmo de crecimiento de la </w:t>
      </w:r>
      <w:r w:rsidR="00063373" w:rsidRPr="000E08B2">
        <w:t>recaudación</w:t>
      </w:r>
      <w:r w:rsidR="00063373">
        <w:t xml:space="preserve"> </w:t>
      </w:r>
      <w:r w:rsidR="00F545BA">
        <w:t>puede asociarse</w:t>
      </w:r>
      <w:r w:rsidR="003F4638">
        <w:t xml:space="preserve"> </w:t>
      </w:r>
      <w:r w:rsidR="00F545BA">
        <w:t>a</w:t>
      </w:r>
      <w:r w:rsidRPr="000E08B2">
        <w:t>l seguimiento de las medidas implementadas en 2021 en el ramo de aduanas, en donde se continúan implementando acciones para combatir la defraudación y el contrabando que redundaron en mayor eficiencia del control aduanero,</w:t>
      </w:r>
      <w:r w:rsidR="003F4638">
        <w:t xml:space="preserve"> el</w:t>
      </w:r>
      <w:r w:rsidRPr="000E08B2">
        <w:t xml:space="preserve"> seguimiento del plan de combate al contrabando aduanero puesta en marcha a través de puestos de control interinstitucional, a la simplificación, automatización y transparencia en el ingreso y salida de la carga vía aérea,</w:t>
      </w:r>
      <w:r w:rsidR="003F4638">
        <w:t xml:space="preserve"> el</w:t>
      </w:r>
      <w:r w:rsidRPr="000E08B2">
        <w:t xml:space="preserve"> fortalecimiento de la gestión de riesgo, </w:t>
      </w:r>
      <w:r w:rsidR="003F4638">
        <w:t xml:space="preserve">los </w:t>
      </w:r>
      <w:r w:rsidRPr="000E08B2">
        <w:t>operativos interinstitucionales en aduanas aéreas, terrestres, marítimas, puestos fronterizos, depósitos aduaneros y zonas francas,</w:t>
      </w:r>
      <w:r w:rsidR="00CD3A00">
        <w:t xml:space="preserve"> la</w:t>
      </w:r>
      <w:r w:rsidRPr="000E08B2">
        <w:t xml:space="preserve"> puesta en marcha del sistema de etiquetas de radiofrecuencia -RFID-, </w:t>
      </w:r>
      <w:r w:rsidR="00CD3A00">
        <w:t xml:space="preserve">el </w:t>
      </w:r>
      <w:r w:rsidRPr="000E08B2">
        <w:t>fortalecimiento del intercambio de información con otros Estados Parte,</w:t>
      </w:r>
      <w:r w:rsidR="00CD3A00">
        <w:t xml:space="preserve"> el</w:t>
      </w:r>
      <w:r w:rsidRPr="000E08B2">
        <w:t xml:space="preserve"> fortalecimiento de la valoración aduanera y a las mejoras en el tiempo de atención de solicitudes entre otras, y también por el efecto del precio de los combustibles y otros productos importados, que siguen una tendencia alcista en sus precios y que impacta en el mismo sentido en la recaudación asociada con las importaciones.</w:t>
      </w:r>
    </w:p>
    <w:p w14:paraId="7E0B5894" w14:textId="77777777" w:rsidR="00E66A98" w:rsidRPr="00DB556E" w:rsidRDefault="00E66A98" w:rsidP="00E66A98">
      <w:pPr>
        <w:pStyle w:val="Prrafodelista"/>
        <w:numPr>
          <w:ilvl w:val="0"/>
          <w:numId w:val="32"/>
        </w:numPr>
        <w:outlineLvl w:val="2"/>
        <w:rPr>
          <w:rFonts w:cs="Times New Roman"/>
          <w:b/>
          <w:vanish/>
          <w:lang w:val="es-MX"/>
        </w:rPr>
      </w:pPr>
      <w:bookmarkStart w:id="48" w:name="_Toc31612759"/>
      <w:bookmarkStart w:id="49" w:name="_Toc31612791"/>
      <w:bookmarkStart w:id="50" w:name="_Toc31614817"/>
      <w:bookmarkStart w:id="51" w:name="_Toc31614849"/>
      <w:bookmarkStart w:id="52" w:name="_Toc31618686"/>
      <w:bookmarkStart w:id="53" w:name="_Toc31618719"/>
      <w:bookmarkStart w:id="54" w:name="_Toc31624495"/>
      <w:bookmarkStart w:id="55" w:name="_Toc31625347"/>
      <w:bookmarkStart w:id="56" w:name="_Toc31626802"/>
      <w:bookmarkStart w:id="57" w:name="_Toc31811253"/>
      <w:bookmarkStart w:id="58" w:name="_Toc31811698"/>
      <w:bookmarkStart w:id="59" w:name="_Toc31971861"/>
      <w:bookmarkStart w:id="60" w:name="_Toc32230883"/>
      <w:bookmarkStart w:id="61" w:name="_Toc33109782"/>
      <w:bookmarkStart w:id="62" w:name="_Toc33109825"/>
      <w:bookmarkStart w:id="63" w:name="_Toc33180546"/>
      <w:bookmarkStart w:id="64" w:name="_Toc33180640"/>
      <w:bookmarkStart w:id="65" w:name="_Toc33193537"/>
      <w:bookmarkStart w:id="66" w:name="_Toc33193576"/>
      <w:bookmarkStart w:id="67" w:name="_Toc33196773"/>
      <w:bookmarkStart w:id="68" w:name="_Toc40691749"/>
      <w:bookmarkStart w:id="69" w:name="_Toc40959152"/>
      <w:bookmarkStart w:id="70" w:name="_Toc40975986"/>
      <w:bookmarkStart w:id="71" w:name="_Toc40976055"/>
      <w:bookmarkStart w:id="72" w:name="_Toc40993310"/>
      <w:bookmarkStart w:id="73" w:name="_Toc40993692"/>
      <w:bookmarkStart w:id="74" w:name="_Toc41037568"/>
      <w:bookmarkStart w:id="75" w:name="_Toc41254128"/>
      <w:bookmarkStart w:id="76" w:name="_Toc41254160"/>
      <w:bookmarkStart w:id="77" w:name="_Toc41254180"/>
      <w:bookmarkStart w:id="78" w:name="_Toc42023953"/>
      <w:bookmarkStart w:id="79" w:name="_Toc42024006"/>
      <w:bookmarkStart w:id="80" w:name="_Toc42069104"/>
      <w:bookmarkStart w:id="81" w:name="_Toc49422050"/>
      <w:bookmarkStart w:id="82" w:name="_Toc49422076"/>
      <w:bookmarkStart w:id="83" w:name="_Toc49430655"/>
      <w:bookmarkStart w:id="84" w:name="_Toc49430681"/>
      <w:bookmarkStart w:id="85" w:name="_Toc49750458"/>
      <w:bookmarkStart w:id="86" w:name="_Toc49750708"/>
      <w:bookmarkStart w:id="87" w:name="_Toc49750736"/>
      <w:bookmarkStart w:id="88" w:name="_Toc55284822"/>
      <w:bookmarkStart w:id="89" w:name="_Toc55298840"/>
      <w:bookmarkStart w:id="90" w:name="_Toc55373821"/>
      <w:bookmarkStart w:id="91" w:name="_Toc55373994"/>
      <w:bookmarkStart w:id="92" w:name="_Toc55375131"/>
      <w:bookmarkStart w:id="93" w:name="_Toc55396539"/>
      <w:bookmarkStart w:id="94" w:name="_Toc65230535"/>
      <w:bookmarkStart w:id="95" w:name="_Toc65230773"/>
      <w:bookmarkStart w:id="96" w:name="_Toc65232057"/>
      <w:bookmarkStart w:id="97" w:name="_Toc65232302"/>
      <w:bookmarkStart w:id="98" w:name="_Toc66716161"/>
      <w:bookmarkStart w:id="99" w:name="_Toc71097206"/>
      <w:bookmarkStart w:id="100" w:name="_Toc71097237"/>
      <w:bookmarkStart w:id="101" w:name="_Toc71097312"/>
      <w:bookmarkStart w:id="102" w:name="_Toc71108052"/>
      <w:bookmarkStart w:id="103" w:name="_Toc79055246"/>
      <w:bookmarkStart w:id="104" w:name="_Toc79055277"/>
      <w:bookmarkStart w:id="105" w:name="_Toc79060168"/>
      <w:bookmarkStart w:id="106" w:name="_Toc79060455"/>
      <w:bookmarkStart w:id="107" w:name="_Toc81307812"/>
      <w:bookmarkStart w:id="108" w:name="_Toc83376473"/>
      <w:bookmarkStart w:id="109" w:name="_Toc86386712"/>
      <w:bookmarkStart w:id="110" w:name="_Toc86405398"/>
      <w:bookmarkStart w:id="111" w:name="_Toc98162428"/>
      <w:bookmarkStart w:id="112" w:name="_Toc98162460"/>
      <w:bookmarkStart w:id="113" w:name="_Toc98234986"/>
      <w:bookmarkStart w:id="114" w:name="_Toc98235181"/>
      <w:bookmarkStart w:id="115" w:name="_Toc98235266"/>
      <w:bookmarkStart w:id="116" w:name="_Toc98757136"/>
      <w:bookmarkStart w:id="117" w:name="_Toc101874691"/>
      <w:bookmarkStart w:id="118" w:name="_Toc101954147"/>
      <w:bookmarkStart w:id="119" w:name="_Toc101971964"/>
      <w:bookmarkStart w:id="120" w:name="_Toc101974056"/>
      <w:bookmarkStart w:id="121" w:name="_Toc102039741"/>
      <w:bookmarkStart w:id="122" w:name="_Toc102039779"/>
      <w:bookmarkStart w:id="123" w:name="_Toc102039819"/>
      <w:bookmarkStart w:id="124" w:name="_Toc102039850"/>
      <w:bookmarkStart w:id="125" w:name="_Toc102040908"/>
      <w:bookmarkStart w:id="126" w:name="_Toc102477756"/>
      <w:bookmarkStart w:id="127" w:name="_Toc102477787"/>
      <w:bookmarkStart w:id="128" w:name="_Toc109824817"/>
      <w:bookmarkStart w:id="129" w:name="_Toc109828773"/>
      <w:bookmarkStart w:id="130" w:name="_Toc109828836"/>
      <w:bookmarkStart w:id="131" w:name="_Toc109829012"/>
      <w:bookmarkStart w:id="132" w:name="_Toc109829043"/>
      <w:bookmarkStart w:id="133" w:name="_Toc109833887"/>
      <w:bookmarkStart w:id="134" w:name="_Toc11023743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4523242" w14:textId="77777777" w:rsidR="00E66A98" w:rsidRPr="00DB556E" w:rsidRDefault="00E66A98" w:rsidP="00E66A98">
      <w:pPr>
        <w:pStyle w:val="Prrafodelista"/>
        <w:numPr>
          <w:ilvl w:val="1"/>
          <w:numId w:val="32"/>
        </w:numPr>
        <w:outlineLvl w:val="2"/>
        <w:rPr>
          <w:rFonts w:cs="Times New Roman"/>
          <w:b/>
          <w:vanish/>
          <w:lang w:val="es-MX"/>
        </w:rPr>
      </w:pPr>
      <w:bookmarkStart w:id="135" w:name="_Toc31612760"/>
      <w:bookmarkStart w:id="136" w:name="_Toc31612792"/>
      <w:bookmarkStart w:id="137" w:name="_Toc31614818"/>
      <w:bookmarkStart w:id="138" w:name="_Toc31614850"/>
      <w:bookmarkStart w:id="139" w:name="_Toc31618687"/>
      <w:bookmarkStart w:id="140" w:name="_Toc31618720"/>
      <w:bookmarkStart w:id="141" w:name="_Toc31624496"/>
      <w:bookmarkStart w:id="142" w:name="_Toc31625348"/>
      <w:bookmarkStart w:id="143" w:name="_Toc31626803"/>
      <w:bookmarkStart w:id="144" w:name="_Toc31811254"/>
      <w:bookmarkStart w:id="145" w:name="_Toc31811699"/>
      <w:bookmarkStart w:id="146" w:name="_Toc31971862"/>
      <w:bookmarkStart w:id="147" w:name="_Toc32230884"/>
      <w:bookmarkStart w:id="148" w:name="_Toc33109783"/>
      <w:bookmarkStart w:id="149" w:name="_Toc33109826"/>
      <w:bookmarkStart w:id="150" w:name="_Toc33180547"/>
      <w:bookmarkStart w:id="151" w:name="_Toc33180641"/>
      <w:bookmarkStart w:id="152" w:name="_Toc33193538"/>
      <w:bookmarkStart w:id="153" w:name="_Toc33193577"/>
      <w:bookmarkStart w:id="154" w:name="_Toc33196774"/>
      <w:bookmarkStart w:id="155" w:name="_Toc40691750"/>
      <w:bookmarkStart w:id="156" w:name="_Toc40959153"/>
      <w:bookmarkStart w:id="157" w:name="_Toc40975987"/>
      <w:bookmarkStart w:id="158" w:name="_Toc40976056"/>
      <w:bookmarkStart w:id="159" w:name="_Toc40993311"/>
      <w:bookmarkStart w:id="160" w:name="_Toc40993693"/>
      <w:bookmarkStart w:id="161" w:name="_Toc41037569"/>
      <w:bookmarkStart w:id="162" w:name="_Toc41254129"/>
      <w:bookmarkStart w:id="163" w:name="_Toc41254161"/>
      <w:bookmarkStart w:id="164" w:name="_Toc41254181"/>
      <w:bookmarkStart w:id="165" w:name="_Toc42023954"/>
      <w:bookmarkStart w:id="166" w:name="_Toc42024007"/>
      <w:bookmarkStart w:id="167" w:name="_Toc42069105"/>
      <w:bookmarkStart w:id="168" w:name="_Toc49422051"/>
      <w:bookmarkStart w:id="169" w:name="_Toc49422077"/>
      <w:bookmarkStart w:id="170" w:name="_Toc49430656"/>
      <w:bookmarkStart w:id="171" w:name="_Toc49430682"/>
      <w:bookmarkStart w:id="172" w:name="_Toc49750459"/>
      <w:bookmarkStart w:id="173" w:name="_Toc49750709"/>
      <w:bookmarkStart w:id="174" w:name="_Toc49750737"/>
      <w:bookmarkStart w:id="175" w:name="_Toc55284823"/>
      <w:bookmarkStart w:id="176" w:name="_Toc55298841"/>
      <w:bookmarkStart w:id="177" w:name="_Toc55373822"/>
      <w:bookmarkStart w:id="178" w:name="_Toc55373995"/>
      <w:bookmarkStart w:id="179" w:name="_Toc55375132"/>
      <w:bookmarkStart w:id="180" w:name="_Toc55396540"/>
      <w:bookmarkStart w:id="181" w:name="_Toc65230536"/>
      <w:bookmarkStart w:id="182" w:name="_Toc65230774"/>
      <w:bookmarkStart w:id="183" w:name="_Toc65232058"/>
      <w:bookmarkStart w:id="184" w:name="_Toc65232303"/>
      <w:bookmarkStart w:id="185" w:name="_Toc66716162"/>
      <w:bookmarkStart w:id="186" w:name="_Toc71097207"/>
      <w:bookmarkStart w:id="187" w:name="_Toc71097238"/>
      <w:bookmarkStart w:id="188" w:name="_Toc71097313"/>
      <w:bookmarkStart w:id="189" w:name="_Toc71108053"/>
      <w:bookmarkStart w:id="190" w:name="_Toc79055247"/>
      <w:bookmarkStart w:id="191" w:name="_Toc79055278"/>
      <w:bookmarkStart w:id="192" w:name="_Toc79060169"/>
      <w:bookmarkStart w:id="193" w:name="_Toc79060456"/>
      <w:bookmarkStart w:id="194" w:name="_Toc81307813"/>
      <w:bookmarkStart w:id="195" w:name="_Toc83376474"/>
      <w:bookmarkStart w:id="196" w:name="_Toc86386713"/>
      <w:bookmarkStart w:id="197" w:name="_Toc86405399"/>
      <w:bookmarkStart w:id="198" w:name="_Toc98162429"/>
      <w:bookmarkStart w:id="199" w:name="_Toc98162461"/>
      <w:bookmarkStart w:id="200" w:name="_Toc98234987"/>
      <w:bookmarkStart w:id="201" w:name="_Toc98235182"/>
      <w:bookmarkStart w:id="202" w:name="_Toc98235267"/>
      <w:bookmarkStart w:id="203" w:name="_Toc98757137"/>
      <w:bookmarkStart w:id="204" w:name="_Toc101874692"/>
      <w:bookmarkStart w:id="205" w:name="_Toc101954148"/>
      <w:bookmarkStart w:id="206" w:name="_Toc101971965"/>
      <w:bookmarkStart w:id="207" w:name="_Toc101974057"/>
      <w:bookmarkStart w:id="208" w:name="_Toc102039742"/>
      <w:bookmarkStart w:id="209" w:name="_Toc102039780"/>
      <w:bookmarkStart w:id="210" w:name="_Toc102039820"/>
      <w:bookmarkStart w:id="211" w:name="_Toc102039851"/>
      <w:bookmarkStart w:id="212" w:name="_Toc102040909"/>
      <w:bookmarkStart w:id="213" w:name="_Toc102477757"/>
      <w:bookmarkStart w:id="214" w:name="_Toc102477788"/>
      <w:bookmarkStart w:id="215" w:name="_Toc109824818"/>
      <w:bookmarkStart w:id="216" w:name="_Toc109828774"/>
      <w:bookmarkStart w:id="217" w:name="_Toc109828837"/>
      <w:bookmarkStart w:id="218" w:name="_Toc109829013"/>
      <w:bookmarkStart w:id="219" w:name="_Toc109829044"/>
      <w:bookmarkStart w:id="220" w:name="_Toc109833888"/>
      <w:bookmarkStart w:id="221" w:name="_Toc11023743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05ED7A2" w14:textId="77777777" w:rsidR="00E66A98" w:rsidRPr="00DB556E" w:rsidRDefault="00E66A98" w:rsidP="00E66A98">
      <w:pPr>
        <w:pStyle w:val="Prrafodelista"/>
        <w:numPr>
          <w:ilvl w:val="1"/>
          <w:numId w:val="32"/>
        </w:numPr>
        <w:outlineLvl w:val="2"/>
        <w:rPr>
          <w:rFonts w:cs="Times New Roman"/>
          <w:b/>
          <w:vanish/>
          <w:lang w:val="es-MX"/>
        </w:rPr>
      </w:pPr>
      <w:bookmarkStart w:id="222" w:name="_Toc31612761"/>
      <w:bookmarkStart w:id="223" w:name="_Toc31612793"/>
      <w:bookmarkStart w:id="224" w:name="_Toc31614819"/>
      <w:bookmarkStart w:id="225" w:name="_Toc31614851"/>
      <w:bookmarkStart w:id="226" w:name="_Toc31618688"/>
      <w:bookmarkStart w:id="227" w:name="_Toc31618721"/>
      <w:bookmarkStart w:id="228" w:name="_Toc31624497"/>
      <w:bookmarkStart w:id="229" w:name="_Toc31625349"/>
      <w:bookmarkStart w:id="230" w:name="_Toc31626804"/>
      <w:bookmarkStart w:id="231" w:name="_Toc31811255"/>
      <w:bookmarkStart w:id="232" w:name="_Toc31811700"/>
      <w:bookmarkStart w:id="233" w:name="_Toc31971863"/>
      <w:bookmarkStart w:id="234" w:name="_Toc32230885"/>
      <w:bookmarkStart w:id="235" w:name="_Toc33109784"/>
      <w:bookmarkStart w:id="236" w:name="_Toc33109827"/>
      <w:bookmarkStart w:id="237" w:name="_Toc33180548"/>
      <w:bookmarkStart w:id="238" w:name="_Toc33180642"/>
      <w:bookmarkStart w:id="239" w:name="_Toc33193539"/>
      <w:bookmarkStart w:id="240" w:name="_Toc33193578"/>
      <w:bookmarkStart w:id="241" w:name="_Toc33196775"/>
      <w:bookmarkStart w:id="242" w:name="_Toc40691751"/>
      <w:bookmarkStart w:id="243" w:name="_Toc40959154"/>
      <w:bookmarkStart w:id="244" w:name="_Toc40975988"/>
      <w:bookmarkStart w:id="245" w:name="_Toc40976057"/>
      <w:bookmarkStart w:id="246" w:name="_Toc40993312"/>
      <w:bookmarkStart w:id="247" w:name="_Toc40993694"/>
      <w:bookmarkStart w:id="248" w:name="_Toc41037570"/>
      <w:bookmarkStart w:id="249" w:name="_Toc41254130"/>
      <w:bookmarkStart w:id="250" w:name="_Toc41254162"/>
      <w:bookmarkStart w:id="251" w:name="_Toc41254182"/>
      <w:bookmarkStart w:id="252" w:name="_Toc42023955"/>
      <w:bookmarkStart w:id="253" w:name="_Toc42024008"/>
      <w:bookmarkStart w:id="254" w:name="_Toc42069106"/>
      <w:bookmarkStart w:id="255" w:name="_Toc49422052"/>
      <w:bookmarkStart w:id="256" w:name="_Toc49422078"/>
      <w:bookmarkStart w:id="257" w:name="_Toc49430657"/>
      <w:bookmarkStart w:id="258" w:name="_Toc49430683"/>
      <w:bookmarkStart w:id="259" w:name="_Toc49750460"/>
      <w:bookmarkStart w:id="260" w:name="_Toc49750710"/>
      <w:bookmarkStart w:id="261" w:name="_Toc49750738"/>
      <w:bookmarkStart w:id="262" w:name="_Toc55284824"/>
      <w:bookmarkStart w:id="263" w:name="_Toc55298842"/>
      <w:bookmarkStart w:id="264" w:name="_Toc55373823"/>
      <w:bookmarkStart w:id="265" w:name="_Toc55373996"/>
      <w:bookmarkStart w:id="266" w:name="_Toc55375133"/>
      <w:bookmarkStart w:id="267" w:name="_Toc55396541"/>
      <w:bookmarkStart w:id="268" w:name="_Toc65230537"/>
      <w:bookmarkStart w:id="269" w:name="_Toc65230775"/>
      <w:bookmarkStart w:id="270" w:name="_Toc65232059"/>
      <w:bookmarkStart w:id="271" w:name="_Toc65232304"/>
      <w:bookmarkStart w:id="272" w:name="_Toc66716163"/>
      <w:bookmarkStart w:id="273" w:name="_Toc71097208"/>
      <w:bookmarkStart w:id="274" w:name="_Toc71097239"/>
      <w:bookmarkStart w:id="275" w:name="_Toc71097314"/>
      <w:bookmarkStart w:id="276" w:name="_Toc71108054"/>
      <w:bookmarkStart w:id="277" w:name="_Toc79055248"/>
      <w:bookmarkStart w:id="278" w:name="_Toc79055279"/>
      <w:bookmarkStart w:id="279" w:name="_Toc79060170"/>
      <w:bookmarkStart w:id="280" w:name="_Toc79060457"/>
      <w:bookmarkStart w:id="281" w:name="_Toc81307814"/>
      <w:bookmarkStart w:id="282" w:name="_Toc83376475"/>
      <w:bookmarkStart w:id="283" w:name="_Toc86386714"/>
      <w:bookmarkStart w:id="284" w:name="_Toc86405400"/>
      <w:bookmarkStart w:id="285" w:name="_Toc98162430"/>
      <w:bookmarkStart w:id="286" w:name="_Toc98162462"/>
      <w:bookmarkStart w:id="287" w:name="_Toc98234988"/>
      <w:bookmarkStart w:id="288" w:name="_Toc98235183"/>
      <w:bookmarkStart w:id="289" w:name="_Toc98235268"/>
      <w:bookmarkStart w:id="290" w:name="_Toc98757138"/>
      <w:bookmarkStart w:id="291" w:name="_Toc101874693"/>
      <w:bookmarkStart w:id="292" w:name="_Toc101954149"/>
      <w:bookmarkStart w:id="293" w:name="_Toc101971966"/>
      <w:bookmarkStart w:id="294" w:name="_Toc101974058"/>
      <w:bookmarkStart w:id="295" w:name="_Toc102039743"/>
      <w:bookmarkStart w:id="296" w:name="_Toc102039781"/>
      <w:bookmarkStart w:id="297" w:name="_Toc102039821"/>
      <w:bookmarkStart w:id="298" w:name="_Toc102039852"/>
      <w:bookmarkStart w:id="299" w:name="_Toc102040910"/>
      <w:bookmarkStart w:id="300" w:name="_Toc102477758"/>
      <w:bookmarkStart w:id="301" w:name="_Toc102477789"/>
      <w:bookmarkStart w:id="302" w:name="_Toc109824819"/>
      <w:bookmarkStart w:id="303" w:name="_Toc109828775"/>
      <w:bookmarkStart w:id="304" w:name="_Toc109828838"/>
      <w:bookmarkStart w:id="305" w:name="_Toc109829014"/>
      <w:bookmarkStart w:id="306" w:name="_Toc109829045"/>
      <w:bookmarkStart w:id="307" w:name="_Toc109833889"/>
      <w:bookmarkStart w:id="308" w:name="_Toc11023743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41832A88" w14:textId="77777777" w:rsidR="008C0B31" w:rsidRPr="00DB556E" w:rsidRDefault="008C0B31" w:rsidP="00BC50A6">
      <w:pPr>
        <w:pStyle w:val="Prrafodelista"/>
        <w:numPr>
          <w:ilvl w:val="0"/>
          <w:numId w:val="1"/>
        </w:numPr>
        <w:ind w:left="426" w:hanging="426"/>
        <w:outlineLvl w:val="0"/>
        <w:rPr>
          <w:rFonts w:eastAsiaTheme="majorEastAsia" w:cs="Times New Roman"/>
          <w:b/>
          <w:bCs/>
          <w:sz w:val="24"/>
          <w:szCs w:val="26"/>
          <w:lang w:val="es-ES_tradnl" w:eastAsia="es-ES"/>
        </w:rPr>
      </w:pPr>
      <w:bookmarkStart w:id="309" w:name="_Toc110237433"/>
      <w:r w:rsidRPr="00DB556E">
        <w:rPr>
          <w:rFonts w:eastAsiaTheme="majorEastAsia" w:cs="Times New Roman"/>
          <w:b/>
          <w:bCs/>
          <w:sz w:val="24"/>
          <w:szCs w:val="26"/>
          <w:lang w:val="es-ES_tradnl" w:eastAsia="es-ES"/>
        </w:rPr>
        <w:t>Gasto Público</w:t>
      </w:r>
      <w:r w:rsidR="00CE4BA6" w:rsidRPr="00DB556E">
        <w:rPr>
          <w:rFonts w:eastAsiaTheme="majorEastAsia" w:cs="Times New Roman"/>
          <w:b/>
          <w:bCs/>
          <w:sz w:val="24"/>
          <w:szCs w:val="26"/>
          <w:lang w:val="es-ES_tradnl" w:eastAsia="es-ES"/>
        </w:rPr>
        <w:t xml:space="preserve"> del Gobierno Central Presupuestario</w:t>
      </w:r>
      <w:bookmarkEnd w:id="309"/>
    </w:p>
    <w:p w14:paraId="60038496" w14:textId="77777777" w:rsidR="0039614C" w:rsidRPr="00DB556E" w:rsidRDefault="0039614C" w:rsidP="00B57C32">
      <w:pPr>
        <w:rPr>
          <w:rFonts w:eastAsiaTheme="majorEastAsia" w:cs="Times New Roman"/>
          <w:b/>
          <w:bCs/>
          <w:sz w:val="24"/>
          <w:szCs w:val="26"/>
          <w:lang w:val="es-ES_tradnl"/>
        </w:rPr>
      </w:pPr>
      <w:r w:rsidRPr="00DB556E">
        <w:rPr>
          <w:rFonts w:eastAsiaTheme="majorEastAsia"/>
          <w:noProof/>
          <w:lang w:eastAsia="es-GT"/>
        </w:rPr>
        <w:drawing>
          <wp:inline distT="0" distB="0" distL="0" distR="0" wp14:anchorId="75D3D81E" wp14:editId="5B100866">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025EE4" w14:textId="77777777" w:rsidR="00770433" w:rsidRPr="00DB556E"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310" w:name="_Toc471986932"/>
      <w:bookmarkStart w:id="311" w:name="_Toc471987067"/>
      <w:bookmarkStart w:id="312" w:name="_Toc471987115"/>
      <w:bookmarkStart w:id="313" w:name="_Toc471987137"/>
      <w:bookmarkStart w:id="314" w:name="_Toc472082165"/>
      <w:bookmarkStart w:id="315" w:name="_Toc472082197"/>
      <w:bookmarkStart w:id="316" w:name="_Toc472089913"/>
      <w:bookmarkStart w:id="317" w:name="_Toc472089936"/>
      <w:bookmarkStart w:id="318" w:name="_Toc505346063"/>
      <w:bookmarkStart w:id="319" w:name="_Toc505349878"/>
      <w:bookmarkStart w:id="320" w:name="_Toc534985836"/>
      <w:bookmarkStart w:id="321" w:name="_Toc534988229"/>
      <w:bookmarkStart w:id="322" w:name="_Toc31611549"/>
      <w:bookmarkStart w:id="323" w:name="_Toc31612768"/>
      <w:bookmarkStart w:id="324" w:name="_Toc31612800"/>
      <w:bookmarkStart w:id="325" w:name="_Toc31614826"/>
      <w:bookmarkStart w:id="326" w:name="_Toc31614858"/>
      <w:bookmarkStart w:id="327" w:name="_Toc31618695"/>
      <w:bookmarkStart w:id="328" w:name="_Toc31618728"/>
      <w:bookmarkStart w:id="329" w:name="_Toc31624504"/>
      <w:bookmarkStart w:id="330" w:name="_Toc31625356"/>
      <w:bookmarkStart w:id="331" w:name="_Toc31626811"/>
      <w:bookmarkStart w:id="332" w:name="_Toc31811262"/>
      <w:bookmarkStart w:id="333" w:name="_Toc31811707"/>
      <w:bookmarkStart w:id="334" w:name="_Toc31971870"/>
      <w:bookmarkStart w:id="335" w:name="_Toc32230892"/>
      <w:bookmarkStart w:id="336" w:name="_Toc33109788"/>
      <w:bookmarkStart w:id="337" w:name="_Toc33109831"/>
      <w:bookmarkStart w:id="338" w:name="_Toc33180552"/>
      <w:bookmarkStart w:id="339" w:name="_Toc33180646"/>
      <w:bookmarkStart w:id="340" w:name="_Toc33193543"/>
      <w:bookmarkStart w:id="341" w:name="_Toc33193582"/>
      <w:bookmarkStart w:id="342" w:name="_Toc33196779"/>
      <w:bookmarkStart w:id="343" w:name="_Toc40691755"/>
      <w:bookmarkStart w:id="344" w:name="_Toc40959156"/>
      <w:bookmarkStart w:id="345" w:name="_Toc40975990"/>
      <w:bookmarkStart w:id="346" w:name="_Toc40976059"/>
      <w:bookmarkStart w:id="347" w:name="_Toc40993314"/>
      <w:bookmarkStart w:id="348" w:name="_Toc40993696"/>
      <w:bookmarkStart w:id="349" w:name="_Toc41037572"/>
      <w:bookmarkStart w:id="350" w:name="_Toc41254132"/>
      <w:bookmarkStart w:id="351" w:name="_Toc41254164"/>
      <w:bookmarkStart w:id="352" w:name="_Toc41254184"/>
      <w:bookmarkStart w:id="353" w:name="_Toc42023958"/>
      <w:bookmarkStart w:id="354" w:name="_Toc42024010"/>
      <w:bookmarkStart w:id="355" w:name="_Toc42069108"/>
      <w:bookmarkStart w:id="356" w:name="_Toc49422054"/>
      <w:bookmarkStart w:id="357" w:name="_Toc49422080"/>
      <w:bookmarkStart w:id="358" w:name="_Toc49430659"/>
      <w:bookmarkStart w:id="359" w:name="_Toc49430685"/>
      <w:bookmarkStart w:id="360" w:name="_Toc49750462"/>
      <w:bookmarkStart w:id="361" w:name="_Toc49750712"/>
      <w:bookmarkStart w:id="362" w:name="_Toc49750740"/>
      <w:bookmarkStart w:id="363" w:name="_Toc55284826"/>
      <w:bookmarkStart w:id="364" w:name="_Toc55298844"/>
      <w:bookmarkStart w:id="365" w:name="_Toc55373825"/>
      <w:bookmarkStart w:id="366" w:name="_Toc55373998"/>
      <w:bookmarkStart w:id="367" w:name="_Toc55375135"/>
      <w:bookmarkStart w:id="368" w:name="_Toc55396543"/>
      <w:bookmarkStart w:id="369" w:name="_Toc65230539"/>
      <w:bookmarkStart w:id="370" w:name="_Toc65230777"/>
      <w:bookmarkStart w:id="371" w:name="_Toc65232061"/>
      <w:bookmarkStart w:id="372" w:name="_Toc65232306"/>
      <w:bookmarkStart w:id="373" w:name="_Toc66716165"/>
      <w:bookmarkStart w:id="374" w:name="_Toc71097210"/>
      <w:bookmarkStart w:id="375" w:name="_Toc71097241"/>
      <w:bookmarkStart w:id="376" w:name="_Toc71097316"/>
      <w:bookmarkStart w:id="377" w:name="_Toc71108056"/>
      <w:bookmarkStart w:id="378" w:name="_Toc79055250"/>
      <w:bookmarkStart w:id="379" w:name="_Toc79055281"/>
      <w:bookmarkStart w:id="380" w:name="_Toc79060172"/>
      <w:bookmarkStart w:id="381" w:name="_Toc79060459"/>
      <w:bookmarkStart w:id="382" w:name="_Toc81307816"/>
      <w:bookmarkStart w:id="383" w:name="_Toc83376477"/>
      <w:bookmarkStart w:id="384" w:name="_Toc86386716"/>
      <w:bookmarkStart w:id="385" w:name="_Toc86405402"/>
      <w:bookmarkStart w:id="386" w:name="_Toc98162432"/>
      <w:bookmarkStart w:id="387" w:name="_Toc98162464"/>
      <w:bookmarkStart w:id="388" w:name="_Toc98234990"/>
      <w:bookmarkStart w:id="389" w:name="_Toc98235185"/>
      <w:bookmarkStart w:id="390" w:name="_Toc98235270"/>
      <w:bookmarkStart w:id="391" w:name="_Toc98757140"/>
      <w:bookmarkStart w:id="392" w:name="_Toc101874695"/>
      <w:bookmarkStart w:id="393" w:name="_Toc101954151"/>
      <w:bookmarkStart w:id="394" w:name="_Toc101971968"/>
      <w:bookmarkStart w:id="395" w:name="_Toc101974060"/>
      <w:bookmarkStart w:id="396" w:name="_Toc102039745"/>
      <w:bookmarkStart w:id="397" w:name="_Toc102039783"/>
      <w:bookmarkStart w:id="398" w:name="_Toc102039823"/>
      <w:bookmarkStart w:id="399" w:name="_Toc102039854"/>
      <w:bookmarkStart w:id="400" w:name="_Toc102040912"/>
      <w:bookmarkStart w:id="401" w:name="_Toc102477760"/>
      <w:bookmarkStart w:id="402" w:name="_Toc102477791"/>
      <w:bookmarkStart w:id="403" w:name="_Toc109824821"/>
      <w:bookmarkStart w:id="404" w:name="_Toc109828777"/>
      <w:bookmarkStart w:id="405" w:name="_Toc109828840"/>
      <w:bookmarkStart w:id="406" w:name="_Toc109829016"/>
      <w:bookmarkStart w:id="407" w:name="_Toc109829047"/>
      <w:bookmarkStart w:id="408" w:name="_Toc109833891"/>
      <w:bookmarkStart w:id="409" w:name="_Toc110237434"/>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FFEEFA0" w14:textId="77777777" w:rsidR="00770433" w:rsidRPr="00DB556E"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410" w:name="_Toc472082166"/>
      <w:bookmarkStart w:id="411" w:name="_Toc472082198"/>
      <w:bookmarkStart w:id="412" w:name="_Toc472089914"/>
      <w:bookmarkStart w:id="413" w:name="_Toc472089937"/>
      <w:bookmarkStart w:id="414" w:name="_Toc505346064"/>
      <w:bookmarkStart w:id="415" w:name="_Toc505349879"/>
      <w:bookmarkStart w:id="416" w:name="_Toc534985837"/>
      <w:bookmarkStart w:id="417" w:name="_Toc534988230"/>
      <w:bookmarkStart w:id="418" w:name="_Toc31611550"/>
      <w:bookmarkStart w:id="419" w:name="_Toc31612769"/>
      <w:bookmarkStart w:id="420" w:name="_Toc31612801"/>
      <w:bookmarkStart w:id="421" w:name="_Toc31614827"/>
      <w:bookmarkStart w:id="422" w:name="_Toc31614859"/>
      <w:bookmarkStart w:id="423" w:name="_Toc31618696"/>
      <w:bookmarkStart w:id="424" w:name="_Toc31618729"/>
      <w:bookmarkStart w:id="425" w:name="_Toc31624505"/>
      <w:bookmarkStart w:id="426" w:name="_Toc31625357"/>
      <w:bookmarkStart w:id="427" w:name="_Toc31626812"/>
      <w:bookmarkStart w:id="428" w:name="_Toc31811263"/>
      <w:bookmarkStart w:id="429" w:name="_Toc31811708"/>
      <w:bookmarkStart w:id="430" w:name="_Toc31971871"/>
      <w:bookmarkStart w:id="431" w:name="_Toc32230893"/>
      <w:bookmarkStart w:id="432" w:name="_Toc33109789"/>
      <w:bookmarkStart w:id="433" w:name="_Toc33109832"/>
      <w:bookmarkStart w:id="434" w:name="_Toc33180553"/>
      <w:bookmarkStart w:id="435" w:name="_Toc33180647"/>
      <w:bookmarkStart w:id="436" w:name="_Toc33193544"/>
      <w:bookmarkStart w:id="437" w:name="_Toc33193583"/>
      <w:bookmarkStart w:id="438" w:name="_Toc33196780"/>
      <w:bookmarkStart w:id="439" w:name="_Toc40691756"/>
      <w:bookmarkStart w:id="440" w:name="_Toc40959157"/>
      <w:bookmarkStart w:id="441" w:name="_Toc40975991"/>
      <w:bookmarkStart w:id="442" w:name="_Toc40976060"/>
      <w:bookmarkStart w:id="443" w:name="_Toc40993315"/>
      <w:bookmarkStart w:id="444" w:name="_Toc40993697"/>
      <w:bookmarkStart w:id="445" w:name="_Toc41037573"/>
      <w:bookmarkStart w:id="446" w:name="_Toc41254133"/>
      <w:bookmarkStart w:id="447" w:name="_Toc41254165"/>
      <w:bookmarkStart w:id="448" w:name="_Toc41254185"/>
      <w:bookmarkStart w:id="449" w:name="_Toc42023959"/>
      <w:bookmarkStart w:id="450" w:name="_Toc42024011"/>
      <w:bookmarkStart w:id="451" w:name="_Toc42069109"/>
      <w:bookmarkStart w:id="452" w:name="_Toc49422055"/>
      <w:bookmarkStart w:id="453" w:name="_Toc49422081"/>
      <w:bookmarkStart w:id="454" w:name="_Toc49430660"/>
      <w:bookmarkStart w:id="455" w:name="_Toc49430686"/>
      <w:bookmarkStart w:id="456" w:name="_Toc49750463"/>
      <w:bookmarkStart w:id="457" w:name="_Toc49750713"/>
      <w:bookmarkStart w:id="458" w:name="_Toc49750741"/>
      <w:bookmarkStart w:id="459" w:name="_Toc55284827"/>
      <w:bookmarkStart w:id="460" w:name="_Toc55298845"/>
      <w:bookmarkStart w:id="461" w:name="_Toc55373826"/>
      <w:bookmarkStart w:id="462" w:name="_Toc55373999"/>
      <w:bookmarkStart w:id="463" w:name="_Toc55375136"/>
      <w:bookmarkStart w:id="464" w:name="_Toc55396544"/>
      <w:bookmarkStart w:id="465" w:name="_Toc65230540"/>
      <w:bookmarkStart w:id="466" w:name="_Toc65230778"/>
      <w:bookmarkStart w:id="467" w:name="_Toc65232062"/>
      <w:bookmarkStart w:id="468" w:name="_Toc65232307"/>
      <w:bookmarkStart w:id="469" w:name="_Toc66716166"/>
      <w:bookmarkStart w:id="470" w:name="_Toc71097211"/>
      <w:bookmarkStart w:id="471" w:name="_Toc71097242"/>
      <w:bookmarkStart w:id="472" w:name="_Toc71097317"/>
      <w:bookmarkStart w:id="473" w:name="_Toc71108057"/>
      <w:bookmarkStart w:id="474" w:name="_Toc79055251"/>
      <w:bookmarkStart w:id="475" w:name="_Toc79055282"/>
      <w:bookmarkStart w:id="476" w:name="_Toc79060173"/>
      <w:bookmarkStart w:id="477" w:name="_Toc79060460"/>
      <w:bookmarkStart w:id="478" w:name="_Toc81307817"/>
      <w:bookmarkStart w:id="479" w:name="_Toc83376478"/>
      <w:bookmarkStart w:id="480" w:name="_Toc86386717"/>
      <w:bookmarkStart w:id="481" w:name="_Toc86405403"/>
      <w:bookmarkStart w:id="482" w:name="_Toc98162433"/>
      <w:bookmarkStart w:id="483" w:name="_Toc98162465"/>
      <w:bookmarkStart w:id="484" w:name="_Toc98234991"/>
      <w:bookmarkStart w:id="485" w:name="_Toc98235186"/>
      <w:bookmarkStart w:id="486" w:name="_Toc98235271"/>
      <w:bookmarkStart w:id="487" w:name="_Toc98757141"/>
      <w:bookmarkStart w:id="488" w:name="_Toc101874696"/>
      <w:bookmarkStart w:id="489" w:name="_Toc101954152"/>
      <w:bookmarkStart w:id="490" w:name="_Toc101971969"/>
      <w:bookmarkStart w:id="491" w:name="_Toc101974061"/>
      <w:bookmarkStart w:id="492" w:name="_Toc102039746"/>
      <w:bookmarkStart w:id="493" w:name="_Toc102039784"/>
      <w:bookmarkStart w:id="494" w:name="_Toc102039824"/>
      <w:bookmarkStart w:id="495" w:name="_Toc102039855"/>
      <w:bookmarkStart w:id="496" w:name="_Toc102040913"/>
      <w:bookmarkStart w:id="497" w:name="_Toc102477761"/>
      <w:bookmarkStart w:id="498" w:name="_Toc102477792"/>
      <w:bookmarkStart w:id="499" w:name="_Toc109824822"/>
      <w:bookmarkStart w:id="500" w:name="_Toc109828778"/>
      <w:bookmarkStart w:id="501" w:name="_Toc109828841"/>
      <w:bookmarkStart w:id="502" w:name="_Toc109829017"/>
      <w:bookmarkStart w:id="503" w:name="_Toc109829048"/>
      <w:bookmarkStart w:id="504" w:name="_Toc109833892"/>
      <w:bookmarkStart w:id="505" w:name="_Toc110237435"/>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1ADB711" w14:textId="6FCAB7EC" w:rsidR="00AF2B4E" w:rsidRPr="00DB556E" w:rsidRDefault="00F23B0C" w:rsidP="008C33ED">
      <w:pPr>
        <w:pStyle w:val="Ttulo2"/>
        <w:numPr>
          <w:ilvl w:val="1"/>
          <w:numId w:val="12"/>
        </w:numPr>
        <w:tabs>
          <w:tab w:val="left" w:pos="426"/>
        </w:tabs>
        <w:spacing w:before="0"/>
        <w:ind w:left="284" w:hanging="284"/>
        <w:rPr>
          <w:rFonts w:cs="Times New Roman"/>
          <w:szCs w:val="22"/>
        </w:rPr>
        <w:sectPr w:rsidR="00AF2B4E" w:rsidRPr="00DB556E" w:rsidSect="00CB498E">
          <w:headerReference w:type="default" r:id="rId22"/>
          <w:footerReference w:type="default" r:id="rId23"/>
          <w:headerReference w:type="first" r:id="rId24"/>
          <w:footerReference w:type="first" r:id="rId25"/>
          <w:pgSz w:w="12240" w:h="15840" w:code="1"/>
          <w:pgMar w:top="1418" w:right="1418" w:bottom="1418" w:left="1418" w:header="709" w:footer="709" w:gutter="0"/>
          <w:pgNumType w:start="0"/>
          <w:cols w:space="708"/>
          <w:titlePg/>
          <w:docGrid w:linePitch="360"/>
        </w:sectPr>
      </w:pPr>
      <w:bookmarkStart w:id="506" w:name="_Toc110237436"/>
      <w:r w:rsidRPr="00DB556E">
        <w:rPr>
          <w:rFonts w:ascii="Times New Roman" w:hAnsi="Times New Roman" w:cs="Times New Roman"/>
          <w:color w:val="auto"/>
          <w:sz w:val="24"/>
        </w:rPr>
        <w:t xml:space="preserve">El </w:t>
      </w:r>
      <w:r w:rsidR="00BB55F5" w:rsidRPr="00DB556E">
        <w:rPr>
          <w:rFonts w:ascii="Times New Roman" w:hAnsi="Times New Roman" w:cs="Times New Roman"/>
          <w:color w:val="auto"/>
          <w:sz w:val="24"/>
        </w:rPr>
        <w:t xml:space="preserve">gasto </w:t>
      </w:r>
      <w:r w:rsidR="009A56EF" w:rsidRPr="00DB556E">
        <w:rPr>
          <w:rFonts w:ascii="Times New Roman" w:hAnsi="Times New Roman" w:cs="Times New Roman"/>
          <w:color w:val="auto"/>
          <w:sz w:val="24"/>
        </w:rPr>
        <w:t>público</w:t>
      </w:r>
      <w:r w:rsidRPr="00DB556E">
        <w:rPr>
          <w:rFonts w:ascii="Times New Roman" w:hAnsi="Times New Roman" w:cs="Times New Roman"/>
          <w:color w:val="auto"/>
          <w:sz w:val="24"/>
        </w:rPr>
        <w:t xml:space="preserve"> </w:t>
      </w:r>
      <w:r w:rsidR="00FD6BC0">
        <w:rPr>
          <w:rFonts w:ascii="Times New Roman" w:hAnsi="Times New Roman" w:cs="Times New Roman"/>
          <w:color w:val="auto"/>
          <w:sz w:val="24"/>
        </w:rPr>
        <w:t>continúa</w:t>
      </w:r>
      <w:r w:rsidR="00BD202A">
        <w:rPr>
          <w:rFonts w:ascii="Times New Roman" w:hAnsi="Times New Roman" w:cs="Times New Roman"/>
          <w:color w:val="auto"/>
          <w:sz w:val="24"/>
        </w:rPr>
        <w:t xml:space="preserve"> mostrando un alto dinamismo</w:t>
      </w:r>
      <w:bookmarkEnd w:id="506"/>
    </w:p>
    <w:p w14:paraId="6054E702" w14:textId="0AC17C94" w:rsidR="00393D7D" w:rsidRPr="00DB556E" w:rsidRDefault="006E0D0F" w:rsidP="00CD34D6">
      <w:pPr>
        <w:rPr>
          <w:rFonts w:cs="Times New Roman"/>
          <w:szCs w:val="22"/>
        </w:rPr>
      </w:pPr>
      <w:r w:rsidRPr="00DB556E">
        <w:rPr>
          <w:rFonts w:cs="Times New Roman"/>
          <w:noProof/>
          <w:lang w:eastAsia="es-GT"/>
        </w:rPr>
        <w:drawing>
          <wp:anchor distT="0" distB="0" distL="114300" distR="114300" simplePos="0" relativeHeight="251661316" behindDoc="0" locked="0" layoutInCell="1" allowOverlap="1" wp14:anchorId="3C69339C" wp14:editId="159C1903">
            <wp:simplePos x="0" y="0"/>
            <wp:positionH relativeFrom="column">
              <wp:posOffset>3050540</wp:posOffset>
            </wp:positionH>
            <wp:positionV relativeFrom="paragraph">
              <wp:posOffset>19050</wp:posOffset>
            </wp:positionV>
            <wp:extent cx="2867025" cy="3134995"/>
            <wp:effectExtent l="0" t="0" r="0" b="8255"/>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93D7D" w:rsidRPr="00DB556E">
        <w:rPr>
          <w:rFonts w:cs="Times New Roman"/>
          <w:szCs w:val="22"/>
        </w:rPr>
        <w:t>E</w:t>
      </w:r>
      <w:r w:rsidR="009A56EF" w:rsidRPr="00DB556E">
        <w:rPr>
          <w:rFonts w:cs="Times New Roman"/>
          <w:szCs w:val="22"/>
        </w:rPr>
        <w:t xml:space="preserve">l gasto público </w:t>
      </w:r>
      <w:r w:rsidR="00F44CC6">
        <w:rPr>
          <w:rFonts w:cs="Times New Roman"/>
          <w:szCs w:val="22"/>
        </w:rPr>
        <w:t xml:space="preserve">se sitúa en </w:t>
      </w:r>
      <w:r w:rsidR="00026985" w:rsidRPr="00DB556E">
        <w:rPr>
          <w:rFonts w:cs="Times New Roman"/>
          <w:szCs w:val="22"/>
        </w:rPr>
        <w:t>Q</w:t>
      </w:r>
      <w:r w:rsidR="00F44CC6" w:rsidRPr="00F44CC6">
        <w:rPr>
          <w:rFonts w:cs="Times New Roman"/>
          <w:szCs w:val="22"/>
        </w:rPr>
        <w:t>45,195.3</w:t>
      </w:r>
      <w:r w:rsidR="00026985" w:rsidRPr="00DB556E">
        <w:rPr>
          <w:rFonts w:cs="Times New Roman"/>
          <w:szCs w:val="22"/>
        </w:rPr>
        <w:t xml:space="preserve"> millones</w:t>
      </w:r>
      <w:r w:rsidR="00F44CC6">
        <w:rPr>
          <w:rFonts w:cs="Times New Roman"/>
          <w:szCs w:val="22"/>
        </w:rPr>
        <w:t xml:space="preserve"> en la primera mitad del año</w:t>
      </w:r>
      <w:r w:rsidR="00026985" w:rsidRPr="00DB556E">
        <w:rPr>
          <w:rFonts w:cs="Times New Roman"/>
          <w:szCs w:val="22"/>
        </w:rPr>
        <w:t xml:space="preserve">, </w:t>
      </w:r>
      <w:r w:rsidR="00F44CC6">
        <w:rPr>
          <w:rFonts w:cs="Times New Roman"/>
          <w:szCs w:val="22"/>
        </w:rPr>
        <w:t>siendo un</w:t>
      </w:r>
      <w:r w:rsidR="00026985" w:rsidRPr="00DB556E">
        <w:rPr>
          <w:rFonts w:cs="Times New Roman"/>
          <w:szCs w:val="22"/>
        </w:rPr>
        <w:t xml:space="preserve"> crecimiento interanual de </w:t>
      </w:r>
      <w:r w:rsidR="00F44CC6">
        <w:rPr>
          <w:rFonts w:cs="Times New Roman"/>
          <w:szCs w:val="22"/>
        </w:rPr>
        <w:t>14</w:t>
      </w:r>
      <w:r w:rsidR="00026985" w:rsidRPr="00DB556E">
        <w:rPr>
          <w:rFonts w:cs="Times New Roman"/>
          <w:szCs w:val="22"/>
        </w:rPr>
        <w:t>.</w:t>
      </w:r>
      <w:r w:rsidR="00F44CC6">
        <w:rPr>
          <w:rFonts w:cs="Times New Roman"/>
          <w:szCs w:val="22"/>
        </w:rPr>
        <w:t>7</w:t>
      </w:r>
      <w:r w:rsidR="00026985" w:rsidRPr="00DB556E">
        <w:rPr>
          <w:rFonts w:cs="Times New Roman"/>
          <w:szCs w:val="22"/>
        </w:rPr>
        <w:t>% (Q</w:t>
      </w:r>
      <w:r w:rsidR="00854789" w:rsidRPr="00854789">
        <w:rPr>
          <w:rFonts w:cs="Times New Roman"/>
          <w:szCs w:val="22"/>
        </w:rPr>
        <w:t>5,786.1</w:t>
      </w:r>
      <w:r w:rsidR="00026985" w:rsidRPr="00DB556E">
        <w:rPr>
          <w:rFonts w:cs="Times New Roman"/>
          <w:szCs w:val="22"/>
        </w:rPr>
        <w:t xml:space="preserve"> millones)</w:t>
      </w:r>
      <w:r w:rsidR="006A3903">
        <w:rPr>
          <w:rFonts w:cs="Times New Roman"/>
          <w:szCs w:val="22"/>
        </w:rPr>
        <w:t>. Es oportuno mencionar que</w:t>
      </w:r>
      <w:r w:rsidR="00854789">
        <w:rPr>
          <w:rFonts w:cs="Times New Roman"/>
          <w:szCs w:val="22"/>
        </w:rPr>
        <w:t xml:space="preserve"> esta tasa de crecimiento es superior al 4.0% observado en 2021</w:t>
      </w:r>
      <w:r w:rsidR="00E53D13">
        <w:rPr>
          <w:rFonts w:cs="Times New Roman"/>
          <w:szCs w:val="22"/>
        </w:rPr>
        <w:t xml:space="preserve">, sin embargo, el </w:t>
      </w:r>
      <w:r w:rsidR="006A3903">
        <w:rPr>
          <w:rFonts w:cs="Times New Roman"/>
          <w:szCs w:val="22"/>
        </w:rPr>
        <w:t xml:space="preserve">gasto público de dicho año fue afectado negativamente por la </w:t>
      </w:r>
      <w:r w:rsidR="006A3903" w:rsidRPr="00DB556E">
        <w:rPr>
          <w:rFonts w:cs="Times New Roman"/>
          <w:szCs w:val="22"/>
        </w:rPr>
        <w:t>no aproba</w:t>
      </w:r>
      <w:r w:rsidR="006A3903">
        <w:rPr>
          <w:rFonts w:cs="Times New Roman"/>
          <w:szCs w:val="22"/>
        </w:rPr>
        <w:t>ción</w:t>
      </w:r>
      <w:r w:rsidR="006A3903" w:rsidRPr="00DB556E">
        <w:rPr>
          <w:rFonts w:cs="Times New Roman"/>
          <w:szCs w:val="22"/>
        </w:rPr>
        <w:t xml:space="preserve"> </w:t>
      </w:r>
      <w:r w:rsidR="006A3903">
        <w:rPr>
          <w:rFonts w:cs="Times New Roman"/>
          <w:szCs w:val="22"/>
        </w:rPr>
        <w:t xml:space="preserve">del presupuesto, así como </w:t>
      </w:r>
      <w:r w:rsidR="00772C7E">
        <w:rPr>
          <w:rFonts w:cs="Times New Roman"/>
          <w:szCs w:val="22"/>
        </w:rPr>
        <w:t xml:space="preserve">por el </w:t>
      </w:r>
      <w:r w:rsidR="006A3903">
        <w:rPr>
          <w:rFonts w:cs="Times New Roman"/>
          <w:szCs w:val="22"/>
        </w:rPr>
        <w:t>alto dinamismo que experimento el gasto en 2020 por la Pandemia del Covid-19.</w:t>
      </w:r>
      <w:r w:rsidR="00E53D13">
        <w:rPr>
          <w:rFonts w:cs="Times New Roman"/>
          <w:szCs w:val="22"/>
        </w:rPr>
        <w:t xml:space="preserve"> </w:t>
      </w:r>
    </w:p>
    <w:p w14:paraId="342F1DC8" w14:textId="77777777" w:rsidR="00393D7D" w:rsidRPr="00DB556E" w:rsidRDefault="00393D7D" w:rsidP="00CD34D6">
      <w:pPr>
        <w:rPr>
          <w:rFonts w:cs="Times New Roman"/>
          <w:szCs w:val="22"/>
        </w:rPr>
      </w:pPr>
    </w:p>
    <w:p w14:paraId="0E964445" w14:textId="650B1AF5" w:rsidR="00F77290" w:rsidRPr="00DB556E" w:rsidRDefault="006A3903" w:rsidP="00CD34D6">
      <w:pPr>
        <w:rPr>
          <w:rFonts w:cs="Times New Roman"/>
          <w:szCs w:val="22"/>
        </w:rPr>
      </w:pPr>
      <w:r>
        <w:rPr>
          <w:rFonts w:cs="Times New Roman"/>
          <w:szCs w:val="22"/>
        </w:rPr>
        <w:t xml:space="preserve">En materia de gasto público por cuenta económica, el </w:t>
      </w:r>
      <w:r w:rsidRPr="00DB556E">
        <w:rPr>
          <w:rFonts w:cs="Times New Roman"/>
          <w:szCs w:val="22"/>
        </w:rPr>
        <w:t>mayor</w:t>
      </w:r>
      <w:r w:rsidR="00F77290" w:rsidRPr="00DB556E">
        <w:rPr>
          <w:rFonts w:cs="Times New Roman"/>
          <w:szCs w:val="22"/>
        </w:rPr>
        <w:t xml:space="preserve"> incremento</w:t>
      </w:r>
      <w:r>
        <w:rPr>
          <w:rFonts w:cs="Times New Roman"/>
          <w:szCs w:val="22"/>
        </w:rPr>
        <w:t xml:space="preserve"> interanual se produce en l</w:t>
      </w:r>
      <w:r w:rsidR="003B671B" w:rsidRPr="00DB556E">
        <w:rPr>
          <w:rFonts w:cs="Times New Roman"/>
          <w:szCs w:val="22"/>
        </w:rPr>
        <w:t xml:space="preserve">as donaciones, </w:t>
      </w:r>
      <w:r w:rsidR="00C85493">
        <w:rPr>
          <w:rFonts w:cs="Times New Roman"/>
          <w:szCs w:val="22"/>
        </w:rPr>
        <w:t>estas</w:t>
      </w:r>
      <w:r w:rsidR="003B671B" w:rsidRPr="00DB556E">
        <w:rPr>
          <w:rFonts w:cs="Times New Roman"/>
          <w:szCs w:val="22"/>
        </w:rPr>
        <w:t xml:space="preserve"> ascienden a Q</w:t>
      </w:r>
      <w:r w:rsidR="00EC6518" w:rsidRPr="00EC6518">
        <w:t xml:space="preserve"> </w:t>
      </w:r>
      <w:r w:rsidR="00EC6518" w:rsidRPr="00EC6518">
        <w:rPr>
          <w:rFonts w:cs="Times New Roman"/>
          <w:szCs w:val="22"/>
        </w:rPr>
        <w:t xml:space="preserve">11,417.3 </w:t>
      </w:r>
      <w:r w:rsidR="00864A0C" w:rsidRPr="00DB556E">
        <w:rPr>
          <w:rFonts w:cs="Times New Roman"/>
          <w:szCs w:val="22"/>
        </w:rPr>
        <w:t>millones</w:t>
      </w:r>
      <w:r w:rsidR="000D4CB3" w:rsidRPr="00DB556E">
        <w:rPr>
          <w:rFonts w:cs="Times New Roman"/>
          <w:szCs w:val="22"/>
        </w:rPr>
        <w:t>,</w:t>
      </w:r>
      <w:r w:rsidR="00864A0C" w:rsidRPr="00DB556E">
        <w:rPr>
          <w:rFonts w:cs="Times New Roman"/>
          <w:szCs w:val="22"/>
        </w:rPr>
        <w:t xml:space="preserve"> siendo un aumento interanual de </w:t>
      </w:r>
      <w:r w:rsidR="00EC6518">
        <w:rPr>
          <w:rFonts w:cs="Times New Roman"/>
          <w:szCs w:val="22"/>
        </w:rPr>
        <w:t>21.9</w:t>
      </w:r>
      <w:r w:rsidR="00675F26" w:rsidRPr="00DB556E">
        <w:rPr>
          <w:rFonts w:cs="Times New Roman"/>
          <w:szCs w:val="22"/>
        </w:rPr>
        <w:t>% (Q</w:t>
      </w:r>
      <w:r w:rsidR="002505AC" w:rsidRPr="002505AC">
        <w:rPr>
          <w:rFonts w:cs="Times New Roman"/>
          <w:szCs w:val="22"/>
        </w:rPr>
        <w:t>2,049.6</w:t>
      </w:r>
      <w:r w:rsidR="00675F26" w:rsidRPr="00DB556E">
        <w:rPr>
          <w:rFonts w:cs="Times New Roman"/>
          <w:szCs w:val="22"/>
        </w:rPr>
        <w:t xml:space="preserve"> millones)</w:t>
      </w:r>
      <w:r w:rsidR="002505AC">
        <w:rPr>
          <w:rFonts w:cs="Times New Roman"/>
          <w:szCs w:val="22"/>
        </w:rPr>
        <w:t xml:space="preserve">. En este sentido, </w:t>
      </w:r>
      <w:r w:rsidR="0091501F">
        <w:rPr>
          <w:rFonts w:cs="Times New Roman"/>
          <w:szCs w:val="22"/>
        </w:rPr>
        <w:t>las entidades</w:t>
      </w:r>
      <w:r w:rsidR="00FA5BE8">
        <w:rPr>
          <w:rFonts w:cs="Times New Roman"/>
          <w:szCs w:val="22"/>
        </w:rPr>
        <w:t xml:space="preserve"> de gobierno</w:t>
      </w:r>
      <w:r w:rsidR="0091501F">
        <w:rPr>
          <w:rFonts w:cs="Times New Roman"/>
          <w:szCs w:val="22"/>
        </w:rPr>
        <w:t xml:space="preserve"> a las cuales se les ha otorgad</w:t>
      </w:r>
      <w:r w:rsidR="00B203E6">
        <w:rPr>
          <w:rFonts w:cs="Times New Roman"/>
          <w:szCs w:val="22"/>
        </w:rPr>
        <w:t>o</w:t>
      </w:r>
      <w:r w:rsidR="0037674D" w:rsidRPr="00DB556E">
        <w:rPr>
          <w:rFonts w:cs="Times New Roman"/>
          <w:szCs w:val="22"/>
        </w:rPr>
        <w:t xml:space="preserve"> </w:t>
      </w:r>
      <w:r w:rsidR="0095237B">
        <w:rPr>
          <w:rFonts w:cs="Times New Roman"/>
          <w:szCs w:val="22"/>
        </w:rPr>
        <w:t xml:space="preserve">un mayor incremento en este concepto </w:t>
      </w:r>
      <w:r w:rsidR="00B203E6">
        <w:rPr>
          <w:rFonts w:cs="Times New Roman"/>
          <w:szCs w:val="22"/>
        </w:rPr>
        <w:t xml:space="preserve">son; </w:t>
      </w:r>
      <w:r w:rsidR="00A36745">
        <w:rPr>
          <w:rFonts w:cs="Times New Roman"/>
          <w:szCs w:val="22"/>
        </w:rPr>
        <w:t>e</w:t>
      </w:r>
      <w:r w:rsidR="0037674D" w:rsidRPr="00DB556E">
        <w:rPr>
          <w:rFonts w:cs="Times New Roman"/>
          <w:szCs w:val="22"/>
        </w:rPr>
        <w:t>l Ministerio Público</w:t>
      </w:r>
      <w:r w:rsidR="00C106F4" w:rsidRPr="00DB556E">
        <w:rPr>
          <w:rFonts w:cs="Times New Roman"/>
          <w:szCs w:val="22"/>
        </w:rPr>
        <w:t xml:space="preserve"> (</w:t>
      </w:r>
      <w:r w:rsidR="005C1962" w:rsidRPr="00DB556E">
        <w:rPr>
          <w:rFonts w:cs="Times New Roman"/>
          <w:szCs w:val="22"/>
        </w:rPr>
        <w:t>Q</w:t>
      </w:r>
      <w:r w:rsidR="00B26076">
        <w:rPr>
          <w:rFonts w:cs="Times New Roman"/>
          <w:szCs w:val="22"/>
        </w:rPr>
        <w:t>542.9</w:t>
      </w:r>
      <w:r w:rsidR="005C1962" w:rsidRPr="00DB556E">
        <w:rPr>
          <w:rFonts w:cs="Times New Roman"/>
          <w:szCs w:val="22"/>
        </w:rPr>
        <w:t xml:space="preserve"> millones adicionales)</w:t>
      </w:r>
      <w:r w:rsidR="0012782F" w:rsidRPr="00DB556E">
        <w:rPr>
          <w:rFonts w:cs="Times New Roman"/>
          <w:szCs w:val="22"/>
        </w:rPr>
        <w:t xml:space="preserve">, </w:t>
      </w:r>
      <w:r w:rsidR="00216CDE" w:rsidRPr="00DB556E">
        <w:rPr>
          <w:rFonts w:cs="Times New Roman"/>
          <w:szCs w:val="22"/>
        </w:rPr>
        <w:t>el Organismo Judicial</w:t>
      </w:r>
      <w:r w:rsidR="005C1962" w:rsidRPr="00DB556E">
        <w:rPr>
          <w:rFonts w:cs="Times New Roman"/>
          <w:szCs w:val="22"/>
        </w:rPr>
        <w:t xml:space="preserve"> (</w:t>
      </w:r>
      <w:r w:rsidR="0089478B" w:rsidRPr="00DB556E">
        <w:rPr>
          <w:rFonts w:cs="Times New Roman"/>
          <w:szCs w:val="22"/>
        </w:rPr>
        <w:t>Q</w:t>
      </w:r>
      <w:r w:rsidR="00DC7457">
        <w:rPr>
          <w:rFonts w:cs="Times New Roman"/>
          <w:szCs w:val="22"/>
        </w:rPr>
        <w:t>232</w:t>
      </w:r>
      <w:r w:rsidR="0089478B" w:rsidRPr="00DB556E">
        <w:rPr>
          <w:rFonts w:cs="Times New Roman"/>
          <w:szCs w:val="22"/>
        </w:rPr>
        <w:t>.</w:t>
      </w:r>
      <w:r w:rsidR="00DC7457">
        <w:rPr>
          <w:rFonts w:cs="Times New Roman"/>
          <w:szCs w:val="22"/>
        </w:rPr>
        <w:t>2</w:t>
      </w:r>
      <w:r w:rsidR="0089478B" w:rsidRPr="00DB556E">
        <w:rPr>
          <w:rFonts w:cs="Times New Roman"/>
          <w:szCs w:val="22"/>
        </w:rPr>
        <w:t xml:space="preserve"> millones</w:t>
      </w:r>
      <w:r w:rsidR="00CA31D5" w:rsidRPr="00DB556E">
        <w:rPr>
          <w:rFonts w:cs="Times New Roman"/>
          <w:szCs w:val="22"/>
        </w:rPr>
        <w:t xml:space="preserve"> adicionales</w:t>
      </w:r>
      <w:r w:rsidR="0089478B" w:rsidRPr="00DB556E">
        <w:rPr>
          <w:rFonts w:cs="Times New Roman"/>
          <w:szCs w:val="22"/>
        </w:rPr>
        <w:t>)</w:t>
      </w:r>
      <w:r w:rsidR="00B26076">
        <w:rPr>
          <w:rFonts w:cs="Times New Roman"/>
          <w:szCs w:val="22"/>
        </w:rPr>
        <w:t xml:space="preserve"> y</w:t>
      </w:r>
      <w:r w:rsidR="00B26076" w:rsidRPr="00B26076">
        <w:rPr>
          <w:rFonts w:cs="Times New Roman"/>
          <w:szCs w:val="22"/>
        </w:rPr>
        <w:t xml:space="preserve"> </w:t>
      </w:r>
      <w:r w:rsidR="00B26076" w:rsidRPr="00DB556E">
        <w:rPr>
          <w:rFonts w:cs="Times New Roman"/>
          <w:szCs w:val="22"/>
        </w:rPr>
        <w:t>el Tribunal Supremo Electoral (Q20</w:t>
      </w:r>
      <w:r w:rsidR="00DC7457">
        <w:rPr>
          <w:rFonts w:cs="Times New Roman"/>
          <w:szCs w:val="22"/>
        </w:rPr>
        <w:t>1</w:t>
      </w:r>
      <w:r w:rsidR="00B26076" w:rsidRPr="00DB556E">
        <w:rPr>
          <w:rFonts w:cs="Times New Roman"/>
          <w:szCs w:val="22"/>
        </w:rPr>
        <w:t>.</w:t>
      </w:r>
      <w:r w:rsidR="00DC7457">
        <w:rPr>
          <w:rFonts w:cs="Times New Roman"/>
          <w:szCs w:val="22"/>
        </w:rPr>
        <w:t>9</w:t>
      </w:r>
      <w:r w:rsidR="00B26076" w:rsidRPr="00DB556E">
        <w:rPr>
          <w:rFonts w:cs="Times New Roman"/>
          <w:szCs w:val="22"/>
        </w:rPr>
        <w:t xml:space="preserve"> millones adicionales</w:t>
      </w:r>
      <w:r w:rsidR="00B26076">
        <w:rPr>
          <w:rFonts w:cs="Times New Roman"/>
          <w:szCs w:val="22"/>
        </w:rPr>
        <w:t>)</w:t>
      </w:r>
      <w:r w:rsidR="00541C38" w:rsidRPr="00DB556E">
        <w:rPr>
          <w:rFonts w:cs="Times New Roman"/>
          <w:szCs w:val="22"/>
        </w:rPr>
        <w:t>.</w:t>
      </w:r>
      <w:r w:rsidR="0012782F" w:rsidRPr="00DB556E">
        <w:rPr>
          <w:rFonts w:cs="Times New Roman"/>
          <w:szCs w:val="22"/>
        </w:rPr>
        <w:t xml:space="preserve"> </w:t>
      </w:r>
    </w:p>
    <w:p w14:paraId="35C5D0E7" w14:textId="77777777" w:rsidR="00C47113" w:rsidRPr="00DB556E" w:rsidRDefault="00C47113" w:rsidP="00CD34D6">
      <w:pPr>
        <w:rPr>
          <w:rFonts w:cs="Times New Roman"/>
          <w:szCs w:val="22"/>
        </w:rPr>
      </w:pPr>
    </w:p>
    <w:p w14:paraId="00EBEC7D" w14:textId="5426B35C" w:rsidR="001965C3" w:rsidRDefault="00675A26" w:rsidP="00FB5489">
      <w:r w:rsidRPr="003A2A84">
        <w:t xml:space="preserve">La segunda cuenta económica con mayor </w:t>
      </w:r>
      <w:r w:rsidR="00C02802" w:rsidRPr="003A2A84">
        <w:t>crecimiento es el gasto en subsidios</w:t>
      </w:r>
      <w:r w:rsidR="00505E26" w:rsidRPr="003A2A84">
        <w:t>,</w:t>
      </w:r>
      <w:r w:rsidR="00012781" w:rsidRPr="003A2A84">
        <w:t xml:space="preserve"> </w:t>
      </w:r>
      <w:r w:rsidR="003C468B" w:rsidRPr="003A2A84">
        <w:t xml:space="preserve">estos </w:t>
      </w:r>
      <w:r w:rsidR="00012781" w:rsidRPr="003A2A84">
        <w:t xml:space="preserve">al mes de junio ascienden a </w:t>
      </w:r>
      <w:r w:rsidR="00981ABE" w:rsidRPr="003A2A84">
        <w:t>Q1,690.2 millones</w:t>
      </w:r>
      <w:r w:rsidR="007E09DD">
        <w:t>,</w:t>
      </w:r>
      <w:r w:rsidR="00981ABE" w:rsidRPr="003A2A84">
        <w:t xml:space="preserve"> siendo este un incremento de 776.6% (</w:t>
      </w:r>
      <w:r w:rsidR="00F34BBC" w:rsidRPr="003A2A84">
        <w:t>Q1,497.4 millones)</w:t>
      </w:r>
      <w:r w:rsidR="003C468B" w:rsidRPr="003A2A84">
        <w:t xml:space="preserve"> </w:t>
      </w:r>
      <w:r w:rsidR="006E6C7A">
        <w:t xml:space="preserve">siendo </w:t>
      </w:r>
      <w:r w:rsidR="003C468B" w:rsidRPr="003A2A84">
        <w:t xml:space="preserve">explicado </w:t>
      </w:r>
      <w:r w:rsidR="0028022D" w:rsidRPr="003A2A84">
        <w:t xml:space="preserve">por la implementación </w:t>
      </w:r>
      <w:r w:rsidR="00E8318F" w:rsidRPr="003A2A84">
        <w:t>de</w:t>
      </w:r>
      <w:r w:rsidR="00106B8A" w:rsidRPr="003A2A84">
        <w:t>l subsidio a</w:t>
      </w:r>
      <w:r w:rsidR="00771986" w:rsidRPr="003A2A84">
        <w:t>l gas propano y a la</w:t>
      </w:r>
      <w:r w:rsidR="006E6C7A">
        <w:t>s</w:t>
      </w:r>
      <w:r w:rsidR="00771986" w:rsidRPr="003A2A84">
        <w:t xml:space="preserve"> gasolina</w:t>
      </w:r>
      <w:r w:rsidR="006E6C7A">
        <w:t>s</w:t>
      </w:r>
      <w:r w:rsidR="00CD60D4" w:rsidRPr="003A2A84">
        <w:t xml:space="preserve"> que se otorga por medio del Ministerio de Energía y Minas</w:t>
      </w:r>
      <w:r w:rsidR="006E6C7A">
        <w:t xml:space="preserve"> para aliviar el alza de los precios internacionales en los hogares guatemaltecos. </w:t>
      </w:r>
    </w:p>
    <w:p w14:paraId="30DE6933" w14:textId="77777777" w:rsidR="00CC1BEC" w:rsidRPr="00DB556E" w:rsidRDefault="00CC1BEC" w:rsidP="00FB5489"/>
    <w:p w14:paraId="75DC1E38" w14:textId="77777777" w:rsidR="00A6402B" w:rsidRPr="00DB556E" w:rsidRDefault="00A6402B" w:rsidP="00FB5489">
      <w:r w:rsidRPr="00DB556E">
        <w:rPr>
          <w:rFonts w:cs="Times New Roman"/>
          <w:noProof/>
          <w:szCs w:val="22"/>
          <w:lang w:eastAsia="es-GT"/>
        </w:rPr>
        <w:drawing>
          <wp:inline distT="0" distB="0" distL="0" distR="0" wp14:anchorId="296D0802" wp14:editId="3606AA82">
            <wp:extent cx="5960745" cy="2581275"/>
            <wp:effectExtent l="0" t="0" r="190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B38DC5" w14:textId="48CCD7D6" w:rsidR="005B7E15" w:rsidRDefault="005B7E15" w:rsidP="00FB5489">
      <w:pPr>
        <w:rPr>
          <w:rFonts w:cs="Times New Roman"/>
          <w:szCs w:val="22"/>
        </w:rPr>
      </w:pPr>
      <w:r>
        <w:rPr>
          <w:rFonts w:cs="Times New Roman"/>
          <w:szCs w:val="22"/>
        </w:rPr>
        <w:lastRenderedPageBreak/>
        <w:t xml:space="preserve">La categoría de otros </w:t>
      </w:r>
      <w:r w:rsidR="00AA3B45">
        <w:rPr>
          <w:rFonts w:cs="Times New Roman"/>
          <w:szCs w:val="22"/>
        </w:rPr>
        <w:t>gastos</w:t>
      </w:r>
      <w:r>
        <w:rPr>
          <w:rFonts w:cs="Times New Roman"/>
          <w:szCs w:val="22"/>
        </w:rPr>
        <w:t xml:space="preserve"> </w:t>
      </w:r>
      <w:r w:rsidR="007B2A5B">
        <w:rPr>
          <w:rFonts w:cs="Times New Roman"/>
          <w:szCs w:val="22"/>
        </w:rPr>
        <w:t xml:space="preserve">se sitúa </w:t>
      </w:r>
      <w:r w:rsidR="006E6C7A">
        <w:rPr>
          <w:rFonts w:cs="Times New Roman"/>
          <w:szCs w:val="22"/>
        </w:rPr>
        <w:t>en torno</w:t>
      </w:r>
      <w:r w:rsidR="007B2A5B">
        <w:rPr>
          <w:rFonts w:cs="Times New Roman"/>
          <w:szCs w:val="22"/>
        </w:rPr>
        <w:t xml:space="preserve"> a los Q</w:t>
      </w:r>
      <w:r w:rsidR="007B2A5B" w:rsidRPr="007B2A5B">
        <w:rPr>
          <w:rFonts w:cs="Times New Roman"/>
          <w:szCs w:val="22"/>
        </w:rPr>
        <w:t>3,401.7</w:t>
      </w:r>
      <w:r w:rsidR="007B2A5B">
        <w:rPr>
          <w:rFonts w:cs="Times New Roman"/>
          <w:szCs w:val="22"/>
        </w:rPr>
        <w:t xml:space="preserve"> millones con una tasa de crecimiento de </w:t>
      </w:r>
      <w:r w:rsidR="005248C9">
        <w:rPr>
          <w:rFonts w:cs="Times New Roman"/>
          <w:szCs w:val="22"/>
        </w:rPr>
        <w:t>35.3% (Q887.9 millones)</w:t>
      </w:r>
      <w:r w:rsidR="00D64AB4" w:rsidRPr="00D64AB4">
        <w:t xml:space="preserve"> </w:t>
      </w:r>
      <w:r w:rsidR="008648DF">
        <w:t xml:space="preserve">y siendo el gasto </w:t>
      </w:r>
      <w:r w:rsidR="004859C2">
        <w:t>más</w:t>
      </w:r>
      <w:r w:rsidR="008648DF">
        <w:t xml:space="preserve"> significativo en esta categoría, </w:t>
      </w:r>
      <w:r w:rsidR="00D64AB4" w:rsidRPr="00D64AB4">
        <w:rPr>
          <w:rFonts w:cs="Times New Roman"/>
          <w:szCs w:val="22"/>
        </w:rPr>
        <w:t xml:space="preserve">las transferencias no clasificadas en otra partida </w:t>
      </w:r>
      <w:r w:rsidR="008648DF">
        <w:rPr>
          <w:rFonts w:cs="Times New Roman"/>
          <w:szCs w:val="22"/>
        </w:rPr>
        <w:t>que se sitúan en</w:t>
      </w:r>
      <w:r w:rsidR="00D64AB4" w:rsidRPr="00D64AB4">
        <w:rPr>
          <w:rFonts w:cs="Times New Roman"/>
          <w:szCs w:val="22"/>
        </w:rPr>
        <w:t xml:space="preserve"> Q</w:t>
      </w:r>
      <w:r w:rsidR="004859C2" w:rsidRPr="004859C2">
        <w:rPr>
          <w:rFonts w:cs="Times New Roman"/>
          <w:szCs w:val="22"/>
        </w:rPr>
        <w:t xml:space="preserve">3,214.8 </w:t>
      </w:r>
      <w:r w:rsidR="004859C2" w:rsidRPr="00D64AB4">
        <w:rPr>
          <w:rFonts w:cs="Times New Roman"/>
          <w:szCs w:val="22"/>
        </w:rPr>
        <w:t>millones</w:t>
      </w:r>
      <w:r w:rsidR="004859C2">
        <w:rPr>
          <w:rFonts w:cs="Times New Roman"/>
          <w:szCs w:val="22"/>
        </w:rPr>
        <w:t xml:space="preserve"> </w:t>
      </w:r>
      <w:r w:rsidR="000D4BC3">
        <w:rPr>
          <w:rFonts w:cs="Times New Roman"/>
          <w:szCs w:val="22"/>
        </w:rPr>
        <w:t>aumentando</w:t>
      </w:r>
      <w:r w:rsidR="004859C2">
        <w:rPr>
          <w:rFonts w:cs="Times New Roman"/>
          <w:szCs w:val="22"/>
        </w:rPr>
        <w:t xml:space="preserve"> </w:t>
      </w:r>
      <w:r w:rsidR="000D4BC3">
        <w:rPr>
          <w:rFonts w:cs="Times New Roman"/>
          <w:szCs w:val="22"/>
        </w:rPr>
        <w:t>un</w:t>
      </w:r>
      <w:r w:rsidR="00D64AB4" w:rsidRPr="00D64AB4">
        <w:rPr>
          <w:rFonts w:cs="Times New Roman"/>
          <w:szCs w:val="22"/>
        </w:rPr>
        <w:t xml:space="preserve"> 3</w:t>
      </w:r>
      <w:r w:rsidR="005776A9">
        <w:rPr>
          <w:rFonts w:cs="Times New Roman"/>
          <w:szCs w:val="22"/>
        </w:rPr>
        <w:t>5</w:t>
      </w:r>
      <w:r w:rsidR="00D64AB4" w:rsidRPr="00D64AB4">
        <w:rPr>
          <w:rFonts w:cs="Times New Roman"/>
          <w:szCs w:val="22"/>
        </w:rPr>
        <w:t>.</w:t>
      </w:r>
      <w:r w:rsidR="00F55ECA">
        <w:rPr>
          <w:rFonts w:cs="Times New Roman"/>
          <w:szCs w:val="22"/>
        </w:rPr>
        <w:t>7</w:t>
      </w:r>
      <w:r w:rsidR="00D64AB4" w:rsidRPr="00D64AB4">
        <w:rPr>
          <w:rFonts w:cs="Times New Roman"/>
          <w:szCs w:val="22"/>
        </w:rPr>
        <w:t>% (Q</w:t>
      </w:r>
      <w:r w:rsidR="00F55ECA">
        <w:rPr>
          <w:rFonts w:cs="Times New Roman"/>
          <w:szCs w:val="22"/>
        </w:rPr>
        <w:t>845</w:t>
      </w:r>
      <w:r w:rsidR="00D64AB4" w:rsidRPr="00D64AB4">
        <w:rPr>
          <w:rFonts w:cs="Times New Roman"/>
          <w:szCs w:val="22"/>
        </w:rPr>
        <w:t>.</w:t>
      </w:r>
      <w:r w:rsidR="00F55ECA">
        <w:rPr>
          <w:rFonts w:cs="Times New Roman"/>
          <w:szCs w:val="22"/>
        </w:rPr>
        <w:t>8</w:t>
      </w:r>
      <w:r w:rsidR="00D64AB4" w:rsidRPr="00D64AB4">
        <w:rPr>
          <w:rFonts w:cs="Times New Roman"/>
          <w:szCs w:val="22"/>
        </w:rPr>
        <w:t xml:space="preserve"> millones) </w:t>
      </w:r>
      <w:r w:rsidR="000D4BC3">
        <w:rPr>
          <w:rFonts w:cs="Times New Roman"/>
          <w:szCs w:val="22"/>
        </w:rPr>
        <w:t xml:space="preserve">y </w:t>
      </w:r>
      <w:r w:rsidR="00F55ECA">
        <w:rPr>
          <w:rFonts w:cs="Times New Roman"/>
          <w:szCs w:val="22"/>
        </w:rPr>
        <w:t>explicado por un incremento intera</w:t>
      </w:r>
      <w:r w:rsidR="00C14E7E">
        <w:rPr>
          <w:rFonts w:cs="Times New Roman"/>
          <w:szCs w:val="22"/>
        </w:rPr>
        <w:t>nual de Q</w:t>
      </w:r>
      <w:r w:rsidR="00260DF8">
        <w:rPr>
          <w:rFonts w:cs="Times New Roman"/>
          <w:szCs w:val="22"/>
        </w:rPr>
        <w:t>6</w:t>
      </w:r>
      <w:r w:rsidR="001F2354">
        <w:rPr>
          <w:rFonts w:cs="Times New Roman"/>
          <w:szCs w:val="22"/>
        </w:rPr>
        <w:t>20.6</w:t>
      </w:r>
      <w:r w:rsidR="00C14E7E">
        <w:rPr>
          <w:rFonts w:cs="Times New Roman"/>
          <w:szCs w:val="22"/>
        </w:rPr>
        <w:t xml:space="preserve"> </w:t>
      </w:r>
      <w:r w:rsidR="00D64AB4" w:rsidRPr="00D64AB4">
        <w:rPr>
          <w:rFonts w:cs="Times New Roman"/>
          <w:szCs w:val="22"/>
        </w:rPr>
        <w:t>millones en</w:t>
      </w:r>
      <w:r w:rsidR="003D5A8D">
        <w:rPr>
          <w:rFonts w:cs="Times New Roman"/>
          <w:szCs w:val="22"/>
        </w:rPr>
        <w:t xml:space="preserve"> las</w:t>
      </w:r>
      <w:r w:rsidR="00D64AB4" w:rsidRPr="00D64AB4">
        <w:rPr>
          <w:rFonts w:cs="Times New Roman"/>
          <w:szCs w:val="22"/>
        </w:rPr>
        <w:t xml:space="preserve"> transferencias a otras instituciones sin fines de lucro que realiza el Ministerio de Educación.</w:t>
      </w:r>
    </w:p>
    <w:p w14:paraId="071D759E" w14:textId="77777777" w:rsidR="00D64AB4" w:rsidRDefault="00D64AB4" w:rsidP="00FB5489">
      <w:pPr>
        <w:rPr>
          <w:rFonts w:cs="Times New Roman"/>
          <w:szCs w:val="22"/>
        </w:rPr>
      </w:pPr>
    </w:p>
    <w:p w14:paraId="79938369" w14:textId="3F819E05" w:rsidR="004419E8" w:rsidRPr="00DB556E" w:rsidRDefault="00D247AC" w:rsidP="00FB5489">
      <w:pPr>
        <w:rPr>
          <w:rFonts w:cs="Times New Roman"/>
          <w:szCs w:val="22"/>
        </w:rPr>
      </w:pPr>
      <w:r>
        <w:rPr>
          <w:rFonts w:cs="Times New Roman"/>
          <w:szCs w:val="22"/>
        </w:rPr>
        <w:t xml:space="preserve">El gasto en </w:t>
      </w:r>
      <w:r w:rsidR="00442D18">
        <w:rPr>
          <w:rFonts w:cs="Times New Roman"/>
          <w:szCs w:val="22"/>
        </w:rPr>
        <w:t>r</w:t>
      </w:r>
      <w:r>
        <w:rPr>
          <w:rFonts w:cs="Times New Roman"/>
          <w:szCs w:val="22"/>
        </w:rPr>
        <w:t>emuneraciones a los empleados al finalizar la primera mitad del año es de Q</w:t>
      </w:r>
      <w:r w:rsidR="00AD5BB4" w:rsidRPr="00AD5BB4">
        <w:rPr>
          <w:rFonts w:cs="Times New Roman"/>
          <w:szCs w:val="22"/>
        </w:rPr>
        <w:t xml:space="preserve">14,599.1 </w:t>
      </w:r>
      <w:r w:rsidR="00AD5BB4">
        <w:rPr>
          <w:rFonts w:cs="Times New Roman"/>
          <w:szCs w:val="22"/>
        </w:rPr>
        <w:t>millones</w:t>
      </w:r>
      <w:r>
        <w:rPr>
          <w:rFonts w:cs="Times New Roman"/>
          <w:szCs w:val="22"/>
        </w:rPr>
        <w:t xml:space="preserve"> </w:t>
      </w:r>
      <w:r w:rsidR="00AD5BB4">
        <w:rPr>
          <w:rFonts w:cs="Times New Roman"/>
          <w:szCs w:val="22"/>
        </w:rPr>
        <w:t>teniendo un crecimiento de 4.5% (Q</w:t>
      </w:r>
      <w:r w:rsidR="008E602F">
        <w:rPr>
          <w:rFonts w:cs="Times New Roman"/>
          <w:szCs w:val="22"/>
        </w:rPr>
        <w:t xml:space="preserve">631.9 millones) luego </w:t>
      </w:r>
      <w:r w:rsidR="00442D18">
        <w:rPr>
          <w:rFonts w:cs="Times New Roman"/>
          <w:szCs w:val="22"/>
        </w:rPr>
        <w:t>le sigue</w:t>
      </w:r>
      <w:r w:rsidR="008E602F">
        <w:rPr>
          <w:rFonts w:cs="Times New Roman"/>
          <w:szCs w:val="22"/>
        </w:rPr>
        <w:t xml:space="preserve"> e</w:t>
      </w:r>
      <w:r w:rsidR="006B5691" w:rsidRPr="00DB556E">
        <w:rPr>
          <w:rFonts w:cs="Times New Roman"/>
          <w:szCs w:val="22"/>
        </w:rPr>
        <w:t xml:space="preserve">l gasto </w:t>
      </w:r>
      <w:r w:rsidR="0003257D" w:rsidRPr="00DB556E">
        <w:rPr>
          <w:rFonts w:cs="Times New Roman"/>
          <w:szCs w:val="22"/>
        </w:rPr>
        <w:t>en</w:t>
      </w:r>
      <w:r w:rsidR="006B5691" w:rsidRPr="00DB556E">
        <w:rPr>
          <w:rFonts w:cs="Times New Roman"/>
          <w:szCs w:val="22"/>
        </w:rPr>
        <w:t xml:space="preserve"> </w:t>
      </w:r>
      <w:r w:rsidR="0003257D" w:rsidRPr="00DB556E">
        <w:rPr>
          <w:rFonts w:cs="Times New Roman"/>
          <w:szCs w:val="22"/>
        </w:rPr>
        <w:t>intereses</w:t>
      </w:r>
      <w:r w:rsidR="00442D18">
        <w:rPr>
          <w:rFonts w:cs="Times New Roman"/>
          <w:szCs w:val="22"/>
        </w:rPr>
        <w:t xml:space="preserve"> pagados</w:t>
      </w:r>
      <w:r w:rsidR="006B5691" w:rsidRPr="00DB556E">
        <w:rPr>
          <w:rFonts w:cs="Times New Roman"/>
          <w:szCs w:val="22"/>
        </w:rPr>
        <w:t xml:space="preserve"> </w:t>
      </w:r>
      <w:r w:rsidR="008E602F">
        <w:rPr>
          <w:rFonts w:cs="Times New Roman"/>
          <w:szCs w:val="22"/>
        </w:rPr>
        <w:t>que en términos acumulados es de</w:t>
      </w:r>
      <w:r w:rsidR="00FB069A" w:rsidRPr="00DB556E">
        <w:rPr>
          <w:rFonts w:cs="Times New Roman"/>
          <w:szCs w:val="22"/>
        </w:rPr>
        <w:t xml:space="preserve"> Q</w:t>
      </w:r>
      <w:r w:rsidR="00DA7C90">
        <w:rPr>
          <w:rFonts w:cs="Times New Roman"/>
          <w:szCs w:val="22"/>
        </w:rPr>
        <w:t>5,808.0</w:t>
      </w:r>
      <w:r w:rsidR="00FB069A" w:rsidRPr="00DB556E">
        <w:rPr>
          <w:rFonts w:cs="Times New Roman"/>
          <w:szCs w:val="22"/>
        </w:rPr>
        <w:t xml:space="preserve"> millones</w:t>
      </w:r>
      <w:r w:rsidR="00DA7C90">
        <w:rPr>
          <w:rFonts w:cs="Times New Roman"/>
          <w:szCs w:val="22"/>
        </w:rPr>
        <w:t xml:space="preserve"> </w:t>
      </w:r>
      <w:r w:rsidR="00147D82" w:rsidRPr="00DB556E">
        <w:rPr>
          <w:rFonts w:cs="Times New Roman"/>
          <w:szCs w:val="22"/>
        </w:rPr>
        <w:t xml:space="preserve">con </w:t>
      </w:r>
      <w:r w:rsidR="00DA7C90">
        <w:rPr>
          <w:rFonts w:cs="Times New Roman"/>
          <w:szCs w:val="22"/>
        </w:rPr>
        <w:t xml:space="preserve">una variación </w:t>
      </w:r>
      <w:r w:rsidR="00147D82" w:rsidRPr="00DB556E">
        <w:rPr>
          <w:rFonts w:cs="Times New Roman"/>
          <w:szCs w:val="22"/>
        </w:rPr>
        <w:t xml:space="preserve">de </w:t>
      </w:r>
      <w:r w:rsidR="0047603C">
        <w:rPr>
          <w:rFonts w:cs="Times New Roman"/>
          <w:szCs w:val="22"/>
        </w:rPr>
        <w:t>5</w:t>
      </w:r>
      <w:r w:rsidR="00DA7C90">
        <w:rPr>
          <w:rFonts w:cs="Times New Roman"/>
          <w:szCs w:val="22"/>
        </w:rPr>
        <w:t>.</w:t>
      </w:r>
      <w:r w:rsidR="0047603C">
        <w:rPr>
          <w:rFonts w:cs="Times New Roman"/>
          <w:szCs w:val="22"/>
        </w:rPr>
        <w:t>5</w:t>
      </w:r>
      <w:r w:rsidR="00147D82" w:rsidRPr="00DB556E">
        <w:rPr>
          <w:rFonts w:cs="Times New Roman"/>
          <w:szCs w:val="22"/>
        </w:rPr>
        <w:t>% (Q</w:t>
      </w:r>
      <w:r w:rsidR="0047603C">
        <w:rPr>
          <w:rFonts w:cs="Times New Roman"/>
          <w:szCs w:val="22"/>
        </w:rPr>
        <w:t>303</w:t>
      </w:r>
      <w:r w:rsidR="001F144F">
        <w:rPr>
          <w:rFonts w:cs="Times New Roman"/>
          <w:szCs w:val="22"/>
        </w:rPr>
        <w:t>.2</w:t>
      </w:r>
      <w:r w:rsidR="00147D82" w:rsidRPr="00DB556E">
        <w:rPr>
          <w:rFonts w:cs="Times New Roman"/>
          <w:szCs w:val="22"/>
        </w:rPr>
        <w:t xml:space="preserve"> millones)</w:t>
      </w:r>
      <w:r w:rsidR="001F144F">
        <w:rPr>
          <w:rFonts w:cs="Times New Roman"/>
          <w:szCs w:val="22"/>
        </w:rPr>
        <w:t xml:space="preserve"> mientras que las </w:t>
      </w:r>
      <w:r w:rsidR="003F2ABD" w:rsidRPr="00DB556E">
        <w:rPr>
          <w:rFonts w:cs="Times New Roman"/>
          <w:szCs w:val="22"/>
        </w:rPr>
        <w:t>prestaciones sociales</w:t>
      </w:r>
      <w:r w:rsidR="00810D0B" w:rsidRPr="00DB556E">
        <w:rPr>
          <w:rFonts w:cs="Times New Roman"/>
          <w:szCs w:val="22"/>
        </w:rPr>
        <w:t xml:space="preserve"> </w:t>
      </w:r>
      <w:r w:rsidR="00DC18AC" w:rsidRPr="00DB556E">
        <w:rPr>
          <w:rFonts w:cs="Times New Roman"/>
          <w:szCs w:val="22"/>
        </w:rPr>
        <w:t xml:space="preserve">se </w:t>
      </w:r>
      <w:r w:rsidR="00810D0B" w:rsidRPr="00DB556E">
        <w:rPr>
          <w:rFonts w:cs="Times New Roman"/>
          <w:szCs w:val="22"/>
        </w:rPr>
        <w:t xml:space="preserve">situaron en </w:t>
      </w:r>
      <w:r w:rsidR="00903AA8" w:rsidRPr="00DB556E">
        <w:rPr>
          <w:rFonts w:cs="Times New Roman"/>
          <w:szCs w:val="22"/>
        </w:rPr>
        <w:t>Q</w:t>
      </w:r>
      <w:r w:rsidR="001F144F" w:rsidRPr="001F144F">
        <w:rPr>
          <w:rFonts w:cs="Times New Roman"/>
          <w:szCs w:val="22"/>
        </w:rPr>
        <w:t xml:space="preserve">2,890.5 </w:t>
      </w:r>
      <w:r w:rsidR="00903AA8" w:rsidRPr="00DB556E">
        <w:rPr>
          <w:rFonts w:cs="Times New Roman"/>
          <w:szCs w:val="22"/>
        </w:rPr>
        <w:t>millones</w:t>
      </w:r>
      <w:r w:rsidR="00A10A68">
        <w:rPr>
          <w:rFonts w:cs="Times New Roman"/>
          <w:szCs w:val="22"/>
        </w:rPr>
        <w:t xml:space="preserve"> con un aumento de 8.5% (Q227.0 millones)</w:t>
      </w:r>
      <w:r w:rsidR="006955B2" w:rsidRPr="00DB556E">
        <w:rPr>
          <w:rFonts w:cs="Times New Roman"/>
          <w:szCs w:val="22"/>
        </w:rPr>
        <w:t xml:space="preserve"> </w:t>
      </w:r>
      <w:r w:rsidR="00A10A68">
        <w:rPr>
          <w:rFonts w:cs="Times New Roman"/>
          <w:szCs w:val="22"/>
        </w:rPr>
        <w:t xml:space="preserve"> y por último</w:t>
      </w:r>
      <w:r w:rsidR="00442D18">
        <w:rPr>
          <w:rFonts w:cs="Times New Roman"/>
          <w:szCs w:val="22"/>
        </w:rPr>
        <w:t>,</w:t>
      </w:r>
      <w:r w:rsidR="00A10A68">
        <w:rPr>
          <w:rFonts w:cs="Times New Roman"/>
          <w:szCs w:val="22"/>
        </w:rPr>
        <w:t xml:space="preserve"> se sitúan los gastos en uso de bienes y servicios que asciende</w:t>
      </w:r>
      <w:r w:rsidR="006F6255">
        <w:rPr>
          <w:rFonts w:cs="Times New Roman"/>
          <w:szCs w:val="22"/>
        </w:rPr>
        <w:t>n</w:t>
      </w:r>
      <w:r w:rsidR="00A10A68">
        <w:rPr>
          <w:rFonts w:cs="Times New Roman"/>
          <w:szCs w:val="22"/>
        </w:rPr>
        <w:t xml:space="preserve"> a Q</w:t>
      </w:r>
      <w:r w:rsidR="00F33DF9" w:rsidRPr="00F33DF9">
        <w:rPr>
          <w:rFonts w:cs="Times New Roman"/>
          <w:szCs w:val="22"/>
        </w:rPr>
        <w:t>5,388.4</w:t>
      </w:r>
      <w:r w:rsidR="00F33DF9">
        <w:rPr>
          <w:rFonts w:cs="Times New Roman"/>
          <w:szCs w:val="22"/>
        </w:rPr>
        <w:t xml:space="preserve"> con un aumento respecto al año previo de 3.6% (Q</w:t>
      </w:r>
      <w:r w:rsidR="00FE5345">
        <w:rPr>
          <w:rFonts w:cs="Times New Roman"/>
          <w:szCs w:val="22"/>
        </w:rPr>
        <w:t>18</w:t>
      </w:r>
      <w:r w:rsidR="006E6C7A">
        <w:rPr>
          <w:rFonts w:cs="Times New Roman"/>
          <w:szCs w:val="22"/>
        </w:rPr>
        <w:t>9</w:t>
      </w:r>
      <w:r w:rsidR="00FE5345">
        <w:rPr>
          <w:rFonts w:cs="Times New Roman"/>
          <w:szCs w:val="22"/>
        </w:rPr>
        <w:t>.0 millones)</w:t>
      </w:r>
      <w:r w:rsidR="00E62338" w:rsidRPr="00DB556E">
        <w:rPr>
          <w:rFonts w:cs="Times New Roman"/>
          <w:szCs w:val="22"/>
        </w:rPr>
        <w:t>.</w:t>
      </w:r>
    </w:p>
    <w:p w14:paraId="2B253993" w14:textId="77777777" w:rsidR="00603AA0" w:rsidRPr="00DB556E" w:rsidRDefault="00603AA0" w:rsidP="00C13640">
      <w:pPr>
        <w:rPr>
          <w:rFonts w:cs="Times New Roman"/>
          <w:sz w:val="16"/>
          <w:szCs w:val="22"/>
          <w:lang w:val="es-MX"/>
        </w:rPr>
      </w:pPr>
    </w:p>
    <w:p w14:paraId="4E1E7B91" w14:textId="77777777" w:rsidR="008B2529" w:rsidRPr="00DB556E" w:rsidRDefault="006122C1" w:rsidP="008B2529">
      <w:pPr>
        <w:pStyle w:val="Prrafodelista"/>
        <w:numPr>
          <w:ilvl w:val="0"/>
          <w:numId w:val="1"/>
        </w:numPr>
        <w:ind w:left="426" w:hanging="426"/>
        <w:outlineLvl w:val="0"/>
        <w:rPr>
          <w:rFonts w:cs="Times New Roman"/>
          <w:b/>
          <w:sz w:val="24"/>
          <w:lang w:val="es-MX"/>
        </w:rPr>
      </w:pPr>
      <w:bookmarkStart w:id="507" w:name="_Toc42023961"/>
      <w:bookmarkStart w:id="508" w:name="_Toc42024013"/>
      <w:bookmarkStart w:id="509" w:name="_Toc110237437"/>
      <w:bookmarkStart w:id="510" w:name="_Toc411347499"/>
      <w:bookmarkEnd w:id="507"/>
      <w:bookmarkEnd w:id="508"/>
      <w:r w:rsidRPr="00DB556E">
        <w:rPr>
          <w:rFonts w:cs="Times New Roman"/>
          <w:b/>
          <w:sz w:val="24"/>
          <w:lang w:val="es-MX"/>
        </w:rPr>
        <w:t xml:space="preserve">Transacciones en Activos </w:t>
      </w:r>
      <w:r w:rsidR="00F4077C" w:rsidRPr="00DB556E">
        <w:rPr>
          <w:rFonts w:cs="Times New Roman"/>
          <w:b/>
          <w:sz w:val="24"/>
          <w:lang w:val="es-MX"/>
        </w:rPr>
        <w:t>No Financieros</w:t>
      </w:r>
      <w:bookmarkEnd w:id="509"/>
    </w:p>
    <w:p w14:paraId="0277483D" w14:textId="77777777" w:rsidR="00A72A8F" w:rsidRPr="00DB556E" w:rsidRDefault="006E4C13" w:rsidP="00C17472">
      <w:pPr>
        <w:rPr>
          <w:rFonts w:cs="Times New Roman"/>
          <w:sz w:val="24"/>
          <w:lang w:val="es-MX"/>
        </w:rPr>
      </w:pPr>
      <w:r w:rsidRPr="00DB556E">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51B087A" w14:textId="77777777" w:rsidR="00A72A8F" w:rsidRPr="00DB556E"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511" w:name="_Toc33109793"/>
      <w:bookmarkStart w:id="512" w:name="_Toc33109836"/>
      <w:bookmarkStart w:id="513" w:name="_Toc33180557"/>
      <w:bookmarkStart w:id="514" w:name="_Toc33180651"/>
      <w:bookmarkStart w:id="515" w:name="_Toc33193548"/>
      <w:bookmarkStart w:id="516" w:name="_Toc33193587"/>
      <w:bookmarkStart w:id="517" w:name="_Toc33196784"/>
      <w:bookmarkStart w:id="518" w:name="_Toc40691760"/>
      <w:bookmarkStart w:id="519" w:name="_Toc40959160"/>
      <w:bookmarkStart w:id="520" w:name="_Toc40975994"/>
      <w:bookmarkStart w:id="521" w:name="_Toc40976063"/>
      <w:bookmarkStart w:id="522" w:name="_Toc40993318"/>
      <w:bookmarkStart w:id="523" w:name="_Toc40993700"/>
      <w:bookmarkStart w:id="524" w:name="_Toc41037576"/>
      <w:bookmarkStart w:id="525" w:name="_Toc41254136"/>
      <w:bookmarkStart w:id="526" w:name="_Toc41254168"/>
      <w:bookmarkStart w:id="527" w:name="_Toc41254188"/>
      <w:bookmarkStart w:id="528" w:name="_Toc42023964"/>
      <w:bookmarkStart w:id="529" w:name="_Toc42024015"/>
      <w:bookmarkStart w:id="530" w:name="_Toc42069112"/>
      <w:bookmarkStart w:id="531" w:name="_Toc49422058"/>
      <w:bookmarkStart w:id="532" w:name="_Toc49422084"/>
      <w:bookmarkStart w:id="533" w:name="_Toc49430663"/>
      <w:bookmarkStart w:id="534" w:name="_Toc49430689"/>
      <w:bookmarkStart w:id="535" w:name="_Toc49750466"/>
      <w:bookmarkStart w:id="536" w:name="_Toc49750716"/>
      <w:bookmarkStart w:id="537" w:name="_Toc49750744"/>
      <w:bookmarkStart w:id="538" w:name="_Toc55284830"/>
      <w:bookmarkStart w:id="539" w:name="_Toc55298848"/>
      <w:bookmarkStart w:id="540" w:name="_Toc55373829"/>
      <w:bookmarkStart w:id="541" w:name="_Toc55374002"/>
      <w:bookmarkStart w:id="542" w:name="_Toc55375139"/>
      <w:bookmarkStart w:id="543" w:name="_Toc55396547"/>
      <w:bookmarkStart w:id="544" w:name="_Toc65230544"/>
      <w:bookmarkStart w:id="545" w:name="_Toc65230782"/>
      <w:bookmarkStart w:id="546" w:name="_Toc65232066"/>
      <w:bookmarkStart w:id="547" w:name="_Toc65232311"/>
      <w:bookmarkStart w:id="548" w:name="_Toc66716170"/>
      <w:bookmarkStart w:id="549" w:name="_Toc71097214"/>
      <w:bookmarkStart w:id="550" w:name="_Toc71097245"/>
      <w:bookmarkStart w:id="551" w:name="_Toc71097320"/>
      <w:bookmarkStart w:id="552" w:name="_Toc71108060"/>
      <w:bookmarkStart w:id="553" w:name="_Toc79055254"/>
      <w:bookmarkStart w:id="554" w:name="_Toc79055285"/>
      <w:bookmarkStart w:id="555" w:name="_Toc79060176"/>
      <w:bookmarkStart w:id="556" w:name="_Toc79060463"/>
      <w:bookmarkStart w:id="557" w:name="_Toc81307820"/>
      <w:bookmarkStart w:id="558" w:name="_Toc83376481"/>
      <w:bookmarkStart w:id="559" w:name="_Toc86386720"/>
      <w:bookmarkStart w:id="560" w:name="_Toc86405406"/>
      <w:bookmarkStart w:id="561" w:name="_Toc98162436"/>
      <w:bookmarkStart w:id="562" w:name="_Toc98162468"/>
      <w:bookmarkStart w:id="563" w:name="_Toc98234994"/>
      <w:bookmarkStart w:id="564" w:name="_Toc98235189"/>
      <w:bookmarkStart w:id="565" w:name="_Toc98235274"/>
      <w:bookmarkStart w:id="566" w:name="_Toc98757144"/>
      <w:bookmarkStart w:id="567" w:name="_Toc101874699"/>
      <w:bookmarkStart w:id="568" w:name="_Toc101954155"/>
      <w:bookmarkStart w:id="569" w:name="_Toc101971972"/>
      <w:bookmarkStart w:id="570" w:name="_Toc101974064"/>
      <w:bookmarkStart w:id="571" w:name="_Toc102039749"/>
      <w:bookmarkStart w:id="572" w:name="_Toc102039787"/>
      <w:bookmarkStart w:id="573" w:name="_Toc102039827"/>
      <w:bookmarkStart w:id="574" w:name="_Toc102039858"/>
      <w:bookmarkStart w:id="575" w:name="_Toc102040916"/>
      <w:bookmarkStart w:id="576" w:name="_Toc102477764"/>
      <w:bookmarkStart w:id="577" w:name="_Toc102477795"/>
      <w:bookmarkStart w:id="578" w:name="_Toc109824825"/>
      <w:bookmarkStart w:id="579" w:name="_Toc109828781"/>
      <w:bookmarkStart w:id="580" w:name="_Toc109828844"/>
      <w:bookmarkStart w:id="581" w:name="_Toc109829020"/>
      <w:bookmarkStart w:id="582" w:name="_Toc109829051"/>
      <w:bookmarkStart w:id="583" w:name="_Toc109833895"/>
      <w:bookmarkStart w:id="584" w:name="_Toc110237438"/>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692112A0" w14:textId="5F256C19" w:rsidR="008B2529" w:rsidRPr="00DB556E" w:rsidRDefault="00F23B0C"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585" w:name="_Toc110237439"/>
      <w:r w:rsidRPr="00DB556E">
        <w:rPr>
          <w:rFonts w:ascii="Times New Roman" w:hAnsi="Times New Roman" w:cs="Times New Roman"/>
          <w:color w:val="auto"/>
          <w:sz w:val="24"/>
        </w:rPr>
        <w:t>L</w:t>
      </w:r>
      <w:r w:rsidR="0060419B" w:rsidRPr="00DB556E">
        <w:rPr>
          <w:rFonts w:ascii="Times New Roman" w:hAnsi="Times New Roman" w:cs="Times New Roman"/>
          <w:color w:val="auto"/>
          <w:sz w:val="24"/>
        </w:rPr>
        <w:t xml:space="preserve">a inversión </w:t>
      </w:r>
      <w:r w:rsidR="00077425">
        <w:rPr>
          <w:rFonts w:ascii="Times New Roman" w:hAnsi="Times New Roman" w:cs="Times New Roman"/>
          <w:color w:val="auto"/>
          <w:sz w:val="24"/>
        </w:rPr>
        <w:t xml:space="preserve">es </w:t>
      </w:r>
      <w:r w:rsidR="006E6C7A">
        <w:rPr>
          <w:rFonts w:ascii="Times New Roman" w:hAnsi="Times New Roman" w:cs="Times New Roman"/>
          <w:color w:val="auto"/>
          <w:sz w:val="24"/>
        </w:rPr>
        <w:t>más</w:t>
      </w:r>
      <w:r w:rsidR="00077425">
        <w:rPr>
          <w:rFonts w:ascii="Times New Roman" w:hAnsi="Times New Roman" w:cs="Times New Roman"/>
          <w:color w:val="auto"/>
          <w:sz w:val="24"/>
        </w:rPr>
        <w:t xml:space="preserve"> alta en 2022 respecto a 2021</w:t>
      </w:r>
      <w:bookmarkEnd w:id="585"/>
    </w:p>
    <w:p w14:paraId="34D480F5" w14:textId="52ECE8A5" w:rsidR="00F3371E" w:rsidRDefault="00EA4ED8" w:rsidP="00CD34D6">
      <w:pPr>
        <w:rPr>
          <w:rFonts w:cs="Times New Roman"/>
          <w:szCs w:val="22"/>
        </w:rPr>
      </w:pPr>
      <w:r w:rsidRPr="00DB556E">
        <w:rPr>
          <w:rFonts w:cs="Times New Roman"/>
          <w:szCs w:val="22"/>
        </w:rPr>
        <w:t xml:space="preserve">La </w:t>
      </w:r>
      <w:r w:rsidR="00E846F8" w:rsidRPr="00DB556E">
        <w:rPr>
          <w:rFonts w:cs="Times New Roman"/>
          <w:szCs w:val="22"/>
        </w:rPr>
        <w:t xml:space="preserve">inversión bruta en activos no financieros </w:t>
      </w:r>
      <w:r w:rsidR="00F729D4">
        <w:rPr>
          <w:rFonts w:cs="Times New Roman"/>
          <w:szCs w:val="22"/>
        </w:rPr>
        <w:t>en el segundo</w:t>
      </w:r>
      <w:r w:rsidR="005B2AEF">
        <w:rPr>
          <w:rFonts w:cs="Times New Roman"/>
          <w:szCs w:val="22"/>
        </w:rPr>
        <w:t xml:space="preserve"> trimestre</w:t>
      </w:r>
      <w:r w:rsidR="00C861B8" w:rsidRPr="00DB556E">
        <w:rPr>
          <w:rFonts w:cs="Times New Roman"/>
          <w:szCs w:val="22"/>
        </w:rPr>
        <w:t xml:space="preserve"> del año </w:t>
      </w:r>
      <w:r w:rsidR="005B2AEF">
        <w:rPr>
          <w:rFonts w:cs="Times New Roman"/>
          <w:szCs w:val="22"/>
        </w:rPr>
        <w:t xml:space="preserve">asciende a </w:t>
      </w:r>
      <w:r w:rsidR="00AA3D14" w:rsidRPr="00DB556E">
        <w:rPr>
          <w:rFonts w:cs="Times New Roman"/>
          <w:szCs w:val="22"/>
        </w:rPr>
        <w:t>Q</w:t>
      </w:r>
      <w:r w:rsidR="005B2AEF">
        <w:rPr>
          <w:rFonts w:cs="Times New Roman"/>
          <w:szCs w:val="22"/>
        </w:rPr>
        <w:t>1,752.8</w:t>
      </w:r>
      <w:r w:rsidR="00AA3D14" w:rsidRPr="00DB556E">
        <w:rPr>
          <w:rFonts w:cs="Times New Roman"/>
          <w:szCs w:val="22"/>
        </w:rPr>
        <w:t xml:space="preserve"> millones</w:t>
      </w:r>
      <w:r w:rsidR="005B2AEF">
        <w:rPr>
          <w:rFonts w:cs="Times New Roman"/>
          <w:szCs w:val="22"/>
        </w:rPr>
        <w:t xml:space="preserve"> y cabe mencionar que </w:t>
      </w:r>
      <w:r w:rsidR="00AA3D14" w:rsidRPr="00DB556E">
        <w:rPr>
          <w:rFonts w:cs="Times New Roman"/>
          <w:szCs w:val="22"/>
        </w:rPr>
        <w:t xml:space="preserve">es un aumento </w:t>
      </w:r>
      <w:r w:rsidR="00C6053D" w:rsidRPr="00DB556E">
        <w:rPr>
          <w:rFonts w:cs="Times New Roman"/>
          <w:szCs w:val="22"/>
        </w:rPr>
        <w:t xml:space="preserve">de </w:t>
      </w:r>
      <w:r w:rsidR="00D341E4">
        <w:rPr>
          <w:rFonts w:cs="Times New Roman"/>
          <w:szCs w:val="22"/>
        </w:rPr>
        <w:t>22.5</w:t>
      </w:r>
      <w:r w:rsidR="000C27C6" w:rsidRPr="00DB556E">
        <w:rPr>
          <w:rFonts w:cs="Times New Roman"/>
          <w:szCs w:val="22"/>
        </w:rPr>
        <w:t>%</w:t>
      </w:r>
      <w:r w:rsidR="004D553D" w:rsidRPr="00DB556E">
        <w:rPr>
          <w:rFonts w:cs="Times New Roman"/>
          <w:szCs w:val="22"/>
        </w:rPr>
        <w:t xml:space="preserve"> (</w:t>
      </w:r>
      <w:r w:rsidR="00FA7EEB" w:rsidRPr="00DB556E">
        <w:rPr>
          <w:rFonts w:cs="Times New Roman"/>
          <w:szCs w:val="22"/>
        </w:rPr>
        <w:t>Q</w:t>
      </w:r>
      <w:r w:rsidR="005953AC">
        <w:rPr>
          <w:rFonts w:cs="Times New Roman"/>
          <w:szCs w:val="22"/>
        </w:rPr>
        <w:t>322</w:t>
      </w:r>
      <w:r w:rsidR="00FA7EEB" w:rsidRPr="00DB556E">
        <w:rPr>
          <w:rFonts w:cs="Times New Roman"/>
          <w:szCs w:val="22"/>
        </w:rPr>
        <w:t>.</w:t>
      </w:r>
      <w:r w:rsidR="005953AC">
        <w:rPr>
          <w:rFonts w:cs="Times New Roman"/>
          <w:szCs w:val="22"/>
        </w:rPr>
        <w:t>1</w:t>
      </w:r>
      <w:r w:rsidR="00FA7EEB" w:rsidRPr="00DB556E">
        <w:rPr>
          <w:rFonts w:cs="Times New Roman"/>
          <w:szCs w:val="22"/>
        </w:rPr>
        <w:t xml:space="preserve"> millones)</w:t>
      </w:r>
      <w:r w:rsidR="005953AC">
        <w:rPr>
          <w:rFonts w:cs="Times New Roman"/>
          <w:szCs w:val="22"/>
        </w:rPr>
        <w:t xml:space="preserve"> </w:t>
      </w:r>
      <w:r w:rsidR="00AA32B8" w:rsidRPr="00DB556E">
        <w:rPr>
          <w:rFonts w:cs="Times New Roman"/>
          <w:szCs w:val="22"/>
        </w:rPr>
        <w:t xml:space="preserve">respecto </w:t>
      </w:r>
      <w:r w:rsidR="005953AC">
        <w:rPr>
          <w:rFonts w:cs="Times New Roman"/>
          <w:szCs w:val="22"/>
        </w:rPr>
        <w:t>lo observado al mismo periodo del año previo</w:t>
      </w:r>
      <w:r w:rsidR="00AE65C5" w:rsidRPr="00DB556E">
        <w:rPr>
          <w:rFonts w:cs="Times New Roman"/>
          <w:szCs w:val="22"/>
        </w:rPr>
        <w:t>.</w:t>
      </w:r>
      <w:r w:rsidR="004E6231">
        <w:rPr>
          <w:rFonts w:cs="Times New Roman"/>
          <w:szCs w:val="22"/>
        </w:rPr>
        <w:t xml:space="preserve"> La principal cuenta económica en la cual se ha hecho inversiones </w:t>
      </w:r>
      <w:r w:rsidR="001E13D9">
        <w:rPr>
          <w:rFonts w:cs="Times New Roman"/>
          <w:szCs w:val="22"/>
        </w:rPr>
        <w:t xml:space="preserve">es en </w:t>
      </w:r>
      <w:r w:rsidR="00397230">
        <w:rPr>
          <w:rFonts w:cs="Times New Roman"/>
          <w:szCs w:val="22"/>
        </w:rPr>
        <w:t>los edificios y estructuras que asciende a Q1,5</w:t>
      </w:r>
      <w:r w:rsidR="00973A2F">
        <w:rPr>
          <w:rFonts w:cs="Times New Roman"/>
          <w:szCs w:val="22"/>
        </w:rPr>
        <w:t>19.5 millones</w:t>
      </w:r>
      <w:r w:rsidR="005B6BE8">
        <w:rPr>
          <w:rFonts w:cs="Times New Roman"/>
          <w:szCs w:val="22"/>
        </w:rPr>
        <w:t xml:space="preserve"> siendo un crecimiento de </w:t>
      </w:r>
      <w:r w:rsidR="00EF44D2">
        <w:rPr>
          <w:rFonts w:cs="Times New Roman"/>
          <w:szCs w:val="22"/>
        </w:rPr>
        <w:t>16.6% (Q216.3 millones)</w:t>
      </w:r>
      <w:r w:rsidR="00CE3A2B" w:rsidRPr="00DB556E">
        <w:rPr>
          <w:rFonts w:cs="Times New Roman"/>
          <w:szCs w:val="22"/>
        </w:rPr>
        <w:t>.</w:t>
      </w:r>
    </w:p>
    <w:p w14:paraId="288E2694" w14:textId="77777777" w:rsidR="00EF44D2" w:rsidRPr="00DB556E" w:rsidRDefault="00EF44D2" w:rsidP="00CD34D6">
      <w:pPr>
        <w:rPr>
          <w:rFonts w:cs="Times New Roman"/>
          <w:szCs w:val="22"/>
        </w:rPr>
      </w:pPr>
    </w:p>
    <w:p w14:paraId="57640202" w14:textId="77777777" w:rsidR="008072E4" w:rsidRPr="00DB556E" w:rsidRDefault="0075669C" w:rsidP="00201CD8">
      <w:pPr>
        <w:jc w:val="center"/>
        <w:rPr>
          <w:rFonts w:cs="Times New Roman"/>
          <w:szCs w:val="22"/>
        </w:rPr>
      </w:pPr>
      <w:r w:rsidRPr="00DB556E">
        <w:rPr>
          <w:rFonts w:cs="Times New Roman"/>
          <w:noProof/>
          <w:szCs w:val="22"/>
          <w:lang w:eastAsia="es-GT"/>
        </w:rPr>
        <w:drawing>
          <wp:inline distT="0" distB="0" distL="0" distR="0" wp14:anchorId="2BFD5ABF" wp14:editId="135E21D9">
            <wp:extent cx="5728970" cy="3788228"/>
            <wp:effectExtent l="0" t="0" r="508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ADD9C0" w14:textId="77777777" w:rsidR="00B435E7" w:rsidRPr="00DB556E" w:rsidRDefault="001D54E4" w:rsidP="007B2224">
      <w:pPr>
        <w:pStyle w:val="Prrafodelista"/>
        <w:numPr>
          <w:ilvl w:val="0"/>
          <w:numId w:val="1"/>
        </w:numPr>
        <w:ind w:left="426" w:hanging="426"/>
        <w:outlineLvl w:val="0"/>
        <w:rPr>
          <w:rFonts w:cs="Times New Roman"/>
          <w:b/>
          <w:sz w:val="24"/>
          <w:lang w:val="es-MX"/>
        </w:rPr>
      </w:pPr>
      <w:bookmarkStart w:id="586" w:name="_Toc42023966"/>
      <w:bookmarkStart w:id="587" w:name="_Toc42024017"/>
      <w:bookmarkStart w:id="588" w:name="_Toc42023967"/>
      <w:bookmarkStart w:id="589" w:name="_Toc42024018"/>
      <w:bookmarkStart w:id="590" w:name="_Toc110237440"/>
      <w:bookmarkEnd w:id="586"/>
      <w:bookmarkEnd w:id="587"/>
      <w:bookmarkEnd w:id="588"/>
      <w:bookmarkEnd w:id="589"/>
      <w:r w:rsidRPr="00DB556E">
        <w:rPr>
          <w:rFonts w:cs="Times New Roman"/>
          <w:b/>
          <w:sz w:val="24"/>
          <w:lang w:val="es-MX"/>
        </w:rPr>
        <w:lastRenderedPageBreak/>
        <w:t>Financiamiento</w:t>
      </w:r>
      <w:bookmarkEnd w:id="590"/>
    </w:p>
    <w:p w14:paraId="5287581E" w14:textId="77777777" w:rsidR="000F19C1" w:rsidRPr="00DB556E"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591" w:name="_Toc55374005"/>
      <w:bookmarkStart w:id="592" w:name="_Toc55375142"/>
      <w:bookmarkStart w:id="593" w:name="_Toc55396550"/>
      <w:bookmarkStart w:id="594" w:name="_Toc65230547"/>
      <w:bookmarkStart w:id="595" w:name="_Toc65230785"/>
      <w:bookmarkStart w:id="596" w:name="_Toc65232069"/>
      <w:bookmarkStart w:id="597" w:name="_Toc65232314"/>
      <w:bookmarkStart w:id="598" w:name="_Toc66716173"/>
      <w:bookmarkStart w:id="599" w:name="_Toc71097217"/>
      <w:bookmarkStart w:id="600" w:name="_Toc71097248"/>
      <w:bookmarkStart w:id="601" w:name="_Toc71097323"/>
      <w:bookmarkStart w:id="602" w:name="_Toc71108063"/>
      <w:bookmarkStart w:id="603" w:name="_Toc79055257"/>
      <w:bookmarkStart w:id="604" w:name="_Toc79055288"/>
      <w:bookmarkStart w:id="605" w:name="_Toc79060179"/>
      <w:bookmarkStart w:id="606" w:name="_Toc79060466"/>
      <w:bookmarkStart w:id="607" w:name="_Toc81307823"/>
      <w:bookmarkStart w:id="608" w:name="_Toc83376484"/>
      <w:bookmarkStart w:id="609" w:name="_Toc86386723"/>
      <w:bookmarkStart w:id="610" w:name="_Toc86405409"/>
      <w:bookmarkStart w:id="611" w:name="_Toc98162439"/>
      <w:bookmarkStart w:id="612" w:name="_Toc98162471"/>
      <w:bookmarkStart w:id="613" w:name="_Toc98234997"/>
      <w:bookmarkStart w:id="614" w:name="_Toc98235192"/>
      <w:bookmarkStart w:id="615" w:name="_Toc98235277"/>
      <w:bookmarkStart w:id="616" w:name="_Toc98757147"/>
      <w:bookmarkStart w:id="617" w:name="_Toc101874702"/>
      <w:bookmarkStart w:id="618" w:name="_Toc101954158"/>
      <w:bookmarkStart w:id="619" w:name="_Toc101971975"/>
      <w:bookmarkStart w:id="620" w:name="_Toc101974067"/>
      <w:bookmarkStart w:id="621" w:name="_Toc102039752"/>
      <w:bookmarkStart w:id="622" w:name="_Toc102039790"/>
      <w:bookmarkStart w:id="623" w:name="_Toc102039830"/>
      <w:bookmarkStart w:id="624" w:name="_Toc102039861"/>
      <w:bookmarkStart w:id="625" w:name="_Toc102040919"/>
      <w:bookmarkStart w:id="626" w:name="_Toc102477767"/>
      <w:bookmarkStart w:id="627" w:name="_Toc102477798"/>
      <w:bookmarkStart w:id="628" w:name="_Toc109824828"/>
      <w:bookmarkStart w:id="629" w:name="_Toc109828784"/>
      <w:bookmarkStart w:id="630" w:name="_Toc109828847"/>
      <w:bookmarkStart w:id="631" w:name="_Toc109829023"/>
      <w:bookmarkStart w:id="632" w:name="_Toc109829054"/>
      <w:bookmarkStart w:id="633" w:name="_Toc109833898"/>
      <w:bookmarkStart w:id="634" w:name="_Toc110237441"/>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52D94915" w14:textId="2E6C407A" w:rsidR="00E44C78" w:rsidRPr="00E44C78" w:rsidRDefault="00E44C78" w:rsidP="00E44C78">
      <w:pPr>
        <w:pStyle w:val="Ttulo2"/>
        <w:numPr>
          <w:ilvl w:val="1"/>
          <w:numId w:val="12"/>
        </w:numPr>
        <w:tabs>
          <w:tab w:val="left" w:pos="426"/>
        </w:tabs>
        <w:spacing w:before="0"/>
        <w:rPr>
          <w:rFonts w:ascii="Times New Roman" w:hAnsi="Times New Roman" w:cs="Times New Roman"/>
          <w:color w:val="auto"/>
          <w:sz w:val="24"/>
        </w:rPr>
      </w:pPr>
      <w:bookmarkStart w:id="635" w:name="_Toc110237442"/>
      <w:r>
        <w:rPr>
          <w:rFonts w:ascii="Times New Roman" w:hAnsi="Times New Roman" w:cs="Times New Roman"/>
          <w:color w:val="auto"/>
          <w:sz w:val="24"/>
        </w:rPr>
        <w:t>Se</w:t>
      </w:r>
      <w:r w:rsidR="009B3C6E">
        <w:rPr>
          <w:rFonts w:ascii="Times New Roman" w:hAnsi="Times New Roman" w:cs="Times New Roman"/>
          <w:color w:val="auto"/>
          <w:sz w:val="24"/>
        </w:rPr>
        <w:t xml:space="preserve"> redujo la disponibilidad </w:t>
      </w:r>
      <w:r w:rsidR="008773A4">
        <w:rPr>
          <w:rFonts w:ascii="Times New Roman" w:hAnsi="Times New Roman" w:cs="Times New Roman"/>
          <w:color w:val="auto"/>
          <w:sz w:val="24"/>
        </w:rPr>
        <w:t>de billetes, monedas y depósitos.</w:t>
      </w:r>
      <w:bookmarkEnd w:id="635"/>
    </w:p>
    <w:p w14:paraId="626663FB" w14:textId="05D2E842" w:rsidR="006D1A13" w:rsidRDefault="00E645B0" w:rsidP="00F46ECF">
      <w:r>
        <w:t>Al finalizar el primer semestre del año, los activos financieros</w:t>
      </w:r>
      <w:r w:rsidR="00AE01B4" w:rsidRPr="00DB556E">
        <w:t xml:space="preserve"> </w:t>
      </w:r>
      <w:r>
        <w:t>se redujeron</w:t>
      </w:r>
      <w:r w:rsidR="00AE01B4" w:rsidRPr="00DB556E">
        <w:t xml:space="preserve"> en </w:t>
      </w:r>
      <w:r w:rsidR="00170F9B" w:rsidRPr="00DB556E">
        <w:t>Q</w:t>
      </w:r>
      <w:r w:rsidR="008F4E18">
        <w:t>1</w:t>
      </w:r>
      <w:r w:rsidR="001D17CB" w:rsidRPr="00DB556E">
        <w:t>,</w:t>
      </w:r>
      <w:r w:rsidR="008F4E18">
        <w:t>307</w:t>
      </w:r>
      <w:r w:rsidR="001D17CB" w:rsidRPr="00DB556E">
        <w:t>.</w:t>
      </w:r>
      <w:r w:rsidR="008F4E18">
        <w:t>0</w:t>
      </w:r>
      <w:r w:rsidR="001D17CB" w:rsidRPr="00DB556E">
        <w:t xml:space="preserve"> </w:t>
      </w:r>
      <w:r w:rsidR="003227AE" w:rsidRPr="00DB556E">
        <w:t>millones</w:t>
      </w:r>
      <w:r w:rsidR="008F4E18">
        <w:t xml:space="preserve"> </w:t>
      </w:r>
      <w:r w:rsidR="007060FE">
        <w:t>de</w:t>
      </w:r>
      <w:r w:rsidR="008F4E18">
        <w:t xml:space="preserve"> los cuales </w:t>
      </w:r>
      <w:r w:rsidR="00F84CBD">
        <w:t>el uso de billetes, monedas y depósitos</w:t>
      </w:r>
      <w:r w:rsidR="00E77BB2">
        <w:t xml:space="preserve"> (caja y bancos)</w:t>
      </w:r>
      <w:r w:rsidR="00F84CBD">
        <w:t xml:space="preserve"> se </w:t>
      </w:r>
      <w:r w:rsidR="00D8765A">
        <w:t xml:space="preserve">ha reducido </w:t>
      </w:r>
      <w:r w:rsidR="007060FE">
        <w:t xml:space="preserve">por </w:t>
      </w:r>
      <w:r w:rsidR="00D8765A">
        <w:t xml:space="preserve">Q1,298.4 </w:t>
      </w:r>
      <w:r w:rsidR="00E77BB2">
        <w:t>millones y</w:t>
      </w:r>
      <w:r w:rsidR="00D8765A">
        <w:t xml:space="preserve"> una </w:t>
      </w:r>
      <w:r w:rsidR="007060FE">
        <w:t>disminución</w:t>
      </w:r>
      <w:r w:rsidR="00D8765A">
        <w:t xml:space="preserve"> en los préstamos otorgados por</w:t>
      </w:r>
      <w:r w:rsidR="007060FE">
        <w:t xml:space="preserve"> un valor de</w:t>
      </w:r>
      <w:r w:rsidR="00D8765A">
        <w:t xml:space="preserve"> Q8.7 millones.</w:t>
      </w:r>
    </w:p>
    <w:p w14:paraId="79FDDCFC" w14:textId="77777777" w:rsidR="00E44C78" w:rsidRPr="00DB556E" w:rsidRDefault="00E44C78" w:rsidP="00F46ECF"/>
    <w:p w14:paraId="0D166D80" w14:textId="341151C1" w:rsidR="00470A42" w:rsidRPr="00DB556E" w:rsidRDefault="00470A42" w:rsidP="001A4D7B">
      <w:pPr>
        <w:jc w:val="center"/>
        <w:rPr>
          <w:b/>
          <w:bCs/>
        </w:rPr>
      </w:pPr>
      <w:r w:rsidRPr="00DB556E">
        <w:rPr>
          <w:b/>
          <w:bCs/>
        </w:rPr>
        <w:t xml:space="preserve">Incurrimiento neto de </w:t>
      </w:r>
      <w:r w:rsidR="00512290" w:rsidRPr="00DB556E">
        <w:rPr>
          <w:b/>
          <w:bCs/>
        </w:rPr>
        <w:t>activos financieros</w:t>
      </w:r>
      <w:r w:rsidRPr="00DB556E">
        <w:rPr>
          <w:b/>
          <w:bCs/>
        </w:rPr>
        <w:t xml:space="preserve"> </w:t>
      </w:r>
      <w:r w:rsidR="00FD7002" w:rsidRPr="00DB556E">
        <w:rPr>
          <w:b/>
          <w:bCs/>
        </w:rPr>
        <w:t xml:space="preserve">a </w:t>
      </w:r>
      <w:r w:rsidR="00E678EC">
        <w:rPr>
          <w:b/>
          <w:bCs/>
        </w:rPr>
        <w:t>junio</w:t>
      </w:r>
      <w:r w:rsidR="00FD7002" w:rsidRPr="00DB556E">
        <w:rPr>
          <w:b/>
          <w:bCs/>
        </w:rPr>
        <w:t xml:space="preserve"> de </w:t>
      </w:r>
      <w:r w:rsidR="00ED71F1" w:rsidRPr="00DB556E">
        <w:rPr>
          <w:b/>
          <w:bCs/>
        </w:rPr>
        <w:t>202</w:t>
      </w:r>
      <w:r w:rsidR="00BF1308" w:rsidRPr="00DB556E">
        <w:rPr>
          <w:b/>
          <w:bCs/>
        </w:rPr>
        <w:t>2</w:t>
      </w:r>
      <w:r w:rsidRPr="00DB556E">
        <w:rPr>
          <w:b/>
          <w:bCs/>
        </w:rPr>
        <w:t>*</w:t>
      </w:r>
    </w:p>
    <w:p w14:paraId="30738EC2" w14:textId="77777777" w:rsidR="00470A42" w:rsidRPr="00DB556E" w:rsidRDefault="00470A42" w:rsidP="006D1A13">
      <w:pPr>
        <w:jc w:val="center"/>
      </w:pPr>
      <w:r w:rsidRPr="00DB556E">
        <w:rPr>
          <w:sz w:val="20"/>
          <w:szCs w:val="22"/>
        </w:rPr>
        <w:t xml:space="preserve">En millones de </w:t>
      </w:r>
      <w:r w:rsidR="003D1F3C" w:rsidRPr="00DB556E">
        <w:rPr>
          <w:sz w:val="20"/>
          <w:szCs w:val="22"/>
        </w:rPr>
        <w:t>q</w:t>
      </w:r>
      <w:r w:rsidRPr="00DB556E">
        <w:rPr>
          <w:sz w:val="20"/>
          <w:szCs w:val="22"/>
        </w:rPr>
        <w:t>uetzales</w:t>
      </w:r>
      <w:r w:rsidR="003D1F3C" w:rsidRPr="00DB556E">
        <w:rPr>
          <w:sz w:val="20"/>
          <w:szCs w:val="22"/>
        </w:rPr>
        <w:t xml:space="preserve"> y porcentajes</w:t>
      </w:r>
    </w:p>
    <w:p w14:paraId="5C387859" w14:textId="77777777" w:rsidR="00731535" w:rsidRPr="00DB556E" w:rsidRDefault="00731535" w:rsidP="006D1A13">
      <w:pPr>
        <w:jc w:val="center"/>
      </w:pPr>
      <w:r w:rsidRPr="00DB556E">
        <w:rPr>
          <w:b/>
          <w:bCs/>
          <w:noProof/>
          <w:lang w:eastAsia="es-GT"/>
        </w:rPr>
        <w:drawing>
          <wp:inline distT="0" distB="0" distL="0" distR="0" wp14:anchorId="6005C3D5" wp14:editId="74A8C0CC">
            <wp:extent cx="3267075" cy="2429691"/>
            <wp:effectExtent l="0" t="0" r="0"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C3031" w:rsidRPr="00DB556E">
        <w:rPr>
          <w:noProof/>
          <w:lang w:eastAsia="es-GT"/>
        </w:rPr>
        <w:drawing>
          <wp:inline distT="0" distB="0" distL="0" distR="0" wp14:anchorId="4B6F4942" wp14:editId="50C50C6A">
            <wp:extent cx="2562225" cy="2410097"/>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6DE04B" w14:textId="77777777" w:rsidR="001E71BF" w:rsidRPr="00DB556E" w:rsidRDefault="001E71BF" w:rsidP="001E71BF">
      <w:pPr>
        <w:rPr>
          <w:rFonts w:cs="Times New Roman"/>
          <w:sz w:val="16"/>
          <w:szCs w:val="22"/>
          <w:lang w:val="es-MX"/>
        </w:rPr>
      </w:pPr>
      <w:r w:rsidRPr="00DB556E">
        <w:rPr>
          <w:rFonts w:cs="Times New Roman"/>
          <w:sz w:val="16"/>
          <w:szCs w:val="22"/>
          <w:lang w:val="es-MX"/>
        </w:rPr>
        <w:t>*Cifras preliminares</w:t>
      </w:r>
    </w:p>
    <w:p w14:paraId="7B42A803" w14:textId="77777777" w:rsidR="001E71BF" w:rsidRPr="00DB556E" w:rsidRDefault="001E71BF" w:rsidP="001E71BF">
      <w:pPr>
        <w:rPr>
          <w:rFonts w:cs="Times New Roman"/>
          <w:sz w:val="16"/>
          <w:szCs w:val="22"/>
          <w:lang w:val="es-MX"/>
        </w:rPr>
      </w:pPr>
      <w:r w:rsidRPr="00DB556E">
        <w:rPr>
          <w:rFonts w:cs="Times New Roman"/>
          <w:sz w:val="16"/>
          <w:szCs w:val="22"/>
          <w:lang w:val="es-MX"/>
        </w:rPr>
        <w:t>Fuente: MINFIN</w:t>
      </w:r>
    </w:p>
    <w:p w14:paraId="5FF761ED" w14:textId="77777777" w:rsidR="001574E6" w:rsidRPr="00DB556E" w:rsidRDefault="001574E6" w:rsidP="001E71BF">
      <w:pPr>
        <w:rPr>
          <w:rFonts w:cs="Times New Roman"/>
          <w:sz w:val="16"/>
          <w:szCs w:val="22"/>
          <w:lang w:val="es-MX"/>
        </w:rPr>
      </w:pPr>
    </w:p>
    <w:p w14:paraId="47346437" w14:textId="77777777" w:rsidR="003554AC" w:rsidRPr="00DB556E" w:rsidRDefault="00B4230B"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636" w:name="_Toc110237443"/>
      <w:r w:rsidRPr="00DB556E">
        <w:rPr>
          <w:rFonts w:ascii="Times New Roman" w:hAnsi="Times New Roman" w:cs="Times New Roman"/>
          <w:color w:val="auto"/>
          <w:sz w:val="24"/>
        </w:rPr>
        <w:t>U</w:t>
      </w:r>
      <w:r w:rsidR="00C35F85" w:rsidRPr="00DB556E">
        <w:rPr>
          <w:rFonts w:ascii="Times New Roman" w:hAnsi="Times New Roman" w:cs="Times New Roman"/>
          <w:color w:val="auto"/>
          <w:sz w:val="24"/>
        </w:rPr>
        <w:t>so</w:t>
      </w:r>
      <w:r w:rsidR="00FF503F" w:rsidRPr="00DB556E">
        <w:rPr>
          <w:rFonts w:ascii="Times New Roman" w:hAnsi="Times New Roman" w:cs="Times New Roman"/>
          <w:color w:val="auto"/>
          <w:sz w:val="24"/>
        </w:rPr>
        <w:t xml:space="preserve"> </w:t>
      </w:r>
      <w:r w:rsidR="00C35F85" w:rsidRPr="00DB556E">
        <w:rPr>
          <w:rFonts w:ascii="Times New Roman" w:hAnsi="Times New Roman" w:cs="Times New Roman"/>
          <w:color w:val="auto"/>
          <w:sz w:val="24"/>
        </w:rPr>
        <w:t>de</w:t>
      </w:r>
      <w:r w:rsidR="0006477B" w:rsidRPr="00DB556E">
        <w:rPr>
          <w:rFonts w:ascii="Times New Roman" w:hAnsi="Times New Roman" w:cs="Times New Roman"/>
          <w:color w:val="auto"/>
          <w:sz w:val="24"/>
        </w:rPr>
        <w:t xml:space="preserve"> </w:t>
      </w:r>
      <w:r w:rsidR="004F7FAD" w:rsidRPr="00DB556E">
        <w:rPr>
          <w:rFonts w:ascii="Times New Roman" w:hAnsi="Times New Roman" w:cs="Times New Roman"/>
          <w:color w:val="auto"/>
          <w:sz w:val="24"/>
        </w:rPr>
        <w:t>pasivos</w:t>
      </w:r>
      <w:r w:rsidR="0089322A" w:rsidRPr="00DB556E">
        <w:rPr>
          <w:rFonts w:ascii="Times New Roman" w:hAnsi="Times New Roman" w:cs="Times New Roman"/>
          <w:color w:val="auto"/>
          <w:sz w:val="24"/>
        </w:rPr>
        <w:t xml:space="preserve"> como fuente de financiamiento</w:t>
      </w:r>
      <w:bookmarkEnd w:id="636"/>
    </w:p>
    <w:p w14:paraId="4450334F" w14:textId="52358C5C" w:rsidR="00996BD9" w:rsidRDefault="00D92887" w:rsidP="00122F2F">
      <w:r w:rsidRPr="00112008">
        <w:t xml:space="preserve">En materia del </w:t>
      </w:r>
      <w:r w:rsidR="00C32014" w:rsidRPr="00112008">
        <w:t>uso de pasivos</w:t>
      </w:r>
      <w:r w:rsidRPr="00112008">
        <w:t xml:space="preserve"> durante la primera parte del año</w:t>
      </w:r>
      <w:r w:rsidR="00C32014" w:rsidRPr="00112008">
        <w:t xml:space="preserve">, estos se han incrementado </w:t>
      </w:r>
      <w:r w:rsidRPr="00112008">
        <w:t>en</w:t>
      </w:r>
      <w:r w:rsidR="00C32014" w:rsidRPr="00112008">
        <w:t xml:space="preserve"> Q</w:t>
      </w:r>
      <w:r w:rsidR="006A3F08" w:rsidRPr="00112008">
        <w:t>5,234.2</w:t>
      </w:r>
      <w:r w:rsidR="00F2485E" w:rsidRPr="00112008">
        <w:t xml:space="preserve"> millones </w:t>
      </w:r>
      <w:r w:rsidR="006A3F08" w:rsidRPr="00112008">
        <w:t xml:space="preserve">y siendo el </w:t>
      </w:r>
      <w:r w:rsidR="00055925" w:rsidRPr="00112008">
        <w:t>instrumento</w:t>
      </w:r>
      <w:r w:rsidR="00665F2F" w:rsidRPr="00112008">
        <w:t xml:space="preserve"> </w:t>
      </w:r>
      <w:r w:rsidR="00740627" w:rsidRPr="00112008">
        <w:t>más</w:t>
      </w:r>
      <w:r w:rsidR="006A3F08" w:rsidRPr="00112008">
        <w:t xml:space="preserve"> utilizado el uso </w:t>
      </w:r>
      <w:r w:rsidR="00A26212" w:rsidRPr="00112008">
        <w:t>títulos de deuda</w:t>
      </w:r>
      <w:r w:rsidR="00055925" w:rsidRPr="00112008">
        <w:t>,</w:t>
      </w:r>
      <w:r w:rsidR="005A1B38" w:rsidRPr="00112008">
        <w:t xml:space="preserve"> </w:t>
      </w:r>
      <w:r w:rsidR="00055925" w:rsidRPr="00112008">
        <w:t xml:space="preserve">estos </w:t>
      </w:r>
      <w:r w:rsidR="00721651" w:rsidRPr="00112008">
        <w:t xml:space="preserve">se incrementaron </w:t>
      </w:r>
      <w:r w:rsidR="006A3F08" w:rsidRPr="00112008">
        <w:t>por un monto de Q6,307.1 millones</w:t>
      </w:r>
      <w:r w:rsidR="007D0E23" w:rsidRPr="00112008">
        <w:t>, así mismo las otras cuentas por pagar aument</w:t>
      </w:r>
      <w:r w:rsidR="006E6C7A" w:rsidRPr="00112008">
        <w:t>ó</w:t>
      </w:r>
      <w:r w:rsidR="007D0E23" w:rsidRPr="00112008">
        <w:t xml:space="preserve"> en Q13.4 millones, mientras que los préstamos se </w:t>
      </w:r>
      <w:r w:rsidR="006056A2" w:rsidRPr="00112008">
        <w:t>amortiza</w:t>
      </w:r>
      <w:r w:rsidR="007D0E23" w:rsidRPr="00112008">
        <w:t>ron</w:t>
      </w:r>
      <w:r w:rsidR="00AF65D0" w:rsidRPr="00112008">
        <w:t xml:space="preserve"> </w:t>
      </w:r>
      <w:r w:rsidR="0076732F" w:rsidRPr="00112008">
        <w:t>por Q</w:t>
      </w:r>
      <w:r w:rsidR="007D0E23" w:rsidRPr="00112008">
        <w:t>1,086</w:t>
      </w:r>
      <w:r w:rsidR="00974D15" w:rsidRPr="00112008">
        <w:t>.</w:t>
      </w:r>
      <w:r w:rsidR="00055925" w:rsidRPr="00112008">
        <w:t>3</w:t>
      </w:r>
      <w:r w:rsidR="00974D15" w:rsidRPr="00112008">
        <w:t xml:space="preserve"> millones</w:t>
      </w:r>
      <w:r w:rsidR="005F61DF" w:rsidRPr="00112008">
        <w:t>.</w:t>
      </w:r>
      <w:r w:rsidR="00425F77" w:rsidRPr="00112008">
        <w:t xml:space="preserve"> Cabe mencionar que</w:t>
      </w:r>
      <w:r w:rsidR="00E53347" w:rsidRPr="00112008">
        <w:t xml:space="preserve"> en el mes junio </w:t>
      </w:r>
      <w:r w:rsidR="00F058D6" w:rsidRPr="00112008">
        <w:t>se hizo el pago por</w:t>
      </w:r>
      <w:r w:rsidR="00E53347" w:rsidRPr="00112008">
        <w:t xml:space="preserve"> vencimiento </w:t>
      </w:r>
      <w:r w:rsidR="00E567FA" w:rsidRPr="00112008">
        <w:t>de eurobonos por un valor de Q5,480.5 millones</w:t>
      </w:r>
      <w:r w:rsidR="002D1DB8" w:rsidRPr="00112008">
        <w:t xml:space="preserve">, que aún no se registra en el SICOIN como una transacción de pasivos, aunque dicho monto fue debitado de los depósitos del gobierno en el Banco de Guatemala, por lo que, de </w:t>
      </w:r>
      <w:r w:rsidR="00D61AD1" w:rsidRPr="00112008">
        <w:t>momento</w:t>
      </w:r>
      <w:r w:rsidR="002D1DB8" w:rsidRPr="00112008">
        <w:t>, se genera una</w:t>
      </w:r>
      <w:r w:rsidR="00D61AD1" w:rsidRPr="00112008">
        <w:t xml:space="preserve"> discrepancia estadística.</w:t>
      </w:r>
    </w:p>
    <w:p w14:paraId="6B567B4A" w14:textId="77777777" w:rsidR="002D1DB8" w:rsidRPr="00DB556E" w:rsidRDefault="002D1DB8" w:rsidP="00122F2F"/>
    <w:tbl>
      <w:tblPr>
        <w:tblStyle w:val="Tablaconcuadrcula"/>
        <w:tblW w:w="9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1"/>
        <w:gridCol w:w="3726"/>
      </w:tblGrid>
      <w:tr w:rsidR="0061446B" w:rsidRPr="00DB556E" w14:paraId="170F85A0" w14:textId="77777777" w:rsidTr="00D61AD1">
        <w:trPr>
          <w:trHeight w:val="247"/>
          <w:jc w:val="center"/>
        </w:trPr>
        <w:tc>
          <w:tcPr>
            <w:tcW w:w="9347" w:type="dxa"/>
            <w:gridSpan w:val="2"/>
          </w:tcPr>
          <w:p w14:paraId="53CD2781" w14:textId="3E8B4634" w:rsidR="0061446B" w:rsidRPr="00DB556E" w:rsidRDefault="0061446B" w:rsidP="00E34A48">
            <w:pPr>
              <w:jc w:val="center"/>
              <w:rPr>
                <w:b/>
                <w:bCs/>
              </w:rPr>
            </w:pPr>
            <w:r w:rsidRPr="00DB556E">
              <w:rPr>
                <w:b/>
                <w:bCs/>
              </w:rPr>
              <w:t>Incurrimiento neto de pasivos</w:t>
            </w:r>
            <w:r w:rsidR="009D176B" w:rsidRPr="00DB556E">
              <w:rPr>
                <w:b/>
                <w:bCs/>
              </w:rPr>
              <w:t xml:space="preserve"> </w:t>
            </w:r>
            <w:r w:rsidR="00B435E7" w:rsidRPr="00DB556E">
              <w:rPr>
                <w:b/>
                <w:bCs/>
              </w:rPr>
              <w:t xml:space="preserve">a </w:t>
            </w:r>
            <w:r w:rsidR="00E678EC">
              <w:rPr>
                <w:b/>
                <w:bCs/>
              </w:rPr>
              <w:t>junio</w:t>
            </w:r>
            <w:r w:rsidR="00B435E7" w:rsidRPr="00DB556E">
              <w:rPr>
                <w:b/>
                <w:bCs/>
              </w:rPr>
              <w:t xml:space="preserve"> de </w:t>
            </w:r>
            <w:r w:rsidR="009D176B" w:rsidRPr="00DB556E">
              <w:rPr>
                <w:b/>
                <w:bCs/>
              </w:rPr>
              <w:t>202</w:t>
            </w:r>
            <w:r w:rsidR="00BF1308" w:rsidRPr="00DB556E">
              <w:rPr>
                <w:b/>
                <w:bCs/>
              </w:rPr>
              <w:t>2</w:t>
            </w:r>
            <w:r w:rsidR="009D176B" w:rsidRPr="00DB556E">
              <w:rPr>
                <w:b/>
                <w:bCs/>
              </w:rPr>
              <w:t>*</w:t>
            </w:r>
          </w:p>
          <w:p w14:paraId="0071567C" w14:textId="77777777" w:rsidR="0061446B" w:rsidRPr="00DB556E" w:rsidRDefault="0061446B" w:rsidP="00E34A48">
            <w:pPr>
              <w:jc w:val="center"/>
            </w:pPr>
            <w:r w:rsidRPr="00DB556E">
              <w:rPr>
                <w:sz w:val="20"/>
                <w:szCs w:val="22"/>
              </w:rPr>
              <w:t xml:space="preserve">En </w:t>
            </w:r>
            <w:r w:rsidR="006535F3" w:rsidRPr="00DB556E">
              <w:rPr>
                <w:sz w:val="20"/>
                <w:szCs w:val="22"/>
              </w:rPr>
              <w:t>millones</w:t>
            </w:r>
            <w:r w:rsidRPr="00DB556E">
              <w:rPr>
                <w:sz w:val="20"/>
                <w:szCs w:val="22"/>
              </w:rPr>
              <w:t xml:space="preserve"> de Quetzales</w:t>
            </w:r>
          </w:p>
        </w:tc>
      </w:tr>
      <w:tr w:rsidR="00D36792" w:rsidRPr="00DB556E" w14:paraId="2690E1D3" w14:textId="77777777" w:rsidTr="00D61AD1">
        <w:trPr>
          <w:trHeight w:val="2724"/>
          <w:jc w:val="center"/>
        </w:trPr>
        <w:tc>
          <w:tcPr>
            <w:tcW w:w="5621" w:type="dxa"/>
            <w:shd w:val="clear" w:color="auto" w:fill="auto"/>
          </w:tcPr>
          <w:p w14:paraId="38032EE6" w14:textId="68490885" w:rsidR="00F674B9" w:rsidRPr="00DB556E" w:rsidRDefault="008C6D6F" w:rsidP="00E34A48">
            <w:r w:rsidRPr="00DB556E">
              <w:rPr>
                <w:noProof/>
                <w:lang w:eastAsia="es-GT"/>
              </w:rPr>
              <w:drawing>
                <wp:anchor distT="0" distB="0" distL="114300" distR="114300" simplePos="0" relativeHeight="251659268" behindDoc="0" locked="0" layoutInCell="1" allowOverlap="1" wp14:anchorId="4F3AC779" wp14:editId="42CFEA0B">
                  <wp:simplePos x="0" y="0"/>
                  <wp:positionH relativeFrom="column">
                    <wp:posOffset>-68580</wp:posOffset>
                  </wp:positionH>
                  <wp:positionV relativeFrom="paragraph">
                    <wp:posOffset>164465</wp:posOffset>
                  </wp:positionV>
                  <wp:extent cx="3600450" cy="207645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tc>
        <w:tc>
          <w:tcPr>
            <w:tcW w:w="3725" w:type="dxa"/>
          </w:tcPr>
          <w:p w14:paraId="6D2B05F8" w14:textId="77777777" w:rsidR="00F674B9" w:rsidRPr="00DB556E" w:rsidRDefault="00311363" w:rsidP="00814951">
            <w:pPr>
              <w:ind w:right="-183"/>
            </w:pPr>
            <w:r w:rsidRPr="00DB556E">
              <w:rPr>
                <w:noProof/>
                <w:lang w:eastAsia="es-GT"/>
              </w:rPr>
              <w:drawing>
                <wp:inline distT="0" distB="0" distL="0" distR="0" wp14:anchorId="10A80184" wp14:editId="7B4832E0">
                  <wp:extent cx="2279015" cy="2239736"/>
                  <wp:effectExtent l="0" t="0" r="6985" b="82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F341054" w14:textId="77777777" w:rsidR="00F4077C" w:rsidRPr="00DB556E"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637" w:name="_Toc42023970"/>
      <w:bookmarkStart w:id="638" w:name="_Toc42024021"/>
      <w:bookmarkStart w:id="639" w:name="_Toc42023971"/>
      <w:bookmarkStart w:id="640" w:name="_Toc42024022"/>
      <w:bookmarkStart w:id="641" w:name="_Toc42023972"/>
      <w:bookmarkStart w:id="642" w:name="_Toc42024023"/>
      <w:bookmarkStart w:id="643" w:name="_Toc42023973"/>
      <w:bookmarkStart w:id="644" w:name="_Toc42024024"/>
      <w:bookmarkStart w:id="645" w:name="_Toc110237444"/>
      <w:bookmarkEnd w:id="637"/>
      <w:bookmarkEnd w:id="638"/>
      <w:bookmarkEnd w:id="639"/>
      <w:bookmarkEnd w:id="640"/>
      <w:bookmarkEnd w:id="641"/>
      <w:bookmarkEnd w:id="642"/>
      <w:bookmarkEnd w:id="643"/>
      <w:bookmarkEnd w:id="644"/>
      <w:r w:rsidRPr="00DB556E">
        <w:rPr>
          <w:rFonts w:eastAsiaTheme="majorEastAsia" w:cs="Times New Roman"/>
          <w:b/>
          <w:bCs/>
          <w:sz w:val="24"/>
          <w:szCs w:val="26"/>
          <w:lang w:val="es-ES_tradnl" w:eastAsia="es-ES"/>
        </w:rPr>
        <w:lastRenderedPageBreak/>
        <w:t>Erogaciones</w:t>
      </w:r>
      <w:r w:rsidR="00B50E45" w:rsidRPr="00DB556E">
        <w:rPr>
          <w:rFonts w:eastAsiaTheme="majorEastAsia" w:cs="Times New Roman"/>
          <w:b/>
          <w:bCs/>
          <w:sz w:val="24"/>
          <w:szCs w:val="26"/>
          <w:lang w:val="es-ES_tradnl" w:eastAsia="es-ES"/>
        </w:rPr>
        <w:t xml:space="preserve"> del Gobierno Central Presupuestario</w:t>
      </w:r>
      <w:bookmarkEnd w:id="645"/>
    </w:p>
    <w:p w14:paraId="2B633498" w14:textId="77777777" w:rsidR="007A76CD" w:rsidRPr="00DB556E" w:rsidRDefault="007A76CD" w:rsidP="00594050">
      <w:pPr>
        <w:rPr>
          <w:rFonts w:cs="Times New Roman"/>
        </w:rPr>
      </w:pPr>
      <w:r w:rsidRPr="00DB556E">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7E5690A"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646" w:name="_Toc42023975"/>
      <w:bookmarkStart w:id="647" w:name="_Toc42024026"/>
      <w:bookmarkStart w:id="648" w:name="_Toc42069116"/>
      <w:bookmarkStart w:id="649" w:name="_Toc49422062"/>
      <w:bookmarkStart w:id="650" w:name="_Toc49422088"/>
      <w:bookmarkStart w:id="651" w:name="_Toc49430667"/>
      <w:bookmarkStart w:id="652" w:name="_Toc49430693"/>
      <w:bookmarkStart w:id="653" w:name="_Toc49750470"/>
      <w:bookmarkStart w:id="654" w:name="_Toc49750720"/>
      <w:bookmarkStart w:id="655" w:name="_Toc49750748"/>
      <w:bookmarkStart w:id="656" w:name="_Toc55284834"/>
      <w:bookmarkStart w:id="657" w:name="_Toc55298852"/>
      <w:bookmarkStart w:id="658" w:name="_Toc55373835"/>
      <w:bookmarkStart w:id="659" w:name="_Toc55374009"/>
      <w:bookmarkStart w:id="660" w:name="_Toc55375146"/>
      <w:bookmarkStart w:id="661" w:name="_Toc55396554"/>
      <w:bookmarkStart w:id="662" w:name="_Toc65230551"/>
      <w:bookmarkStart w:id="663" w:name="_Toc65230789"/>
      <w:bookmarkStart w:id="664" w:name="_Toc65232073"/>
      <w:bookmarkStart w:id="665" w:name="_Toc65232318"/>
      <w:bookmarkStart w:id="666" w:name="_Toc66716177"/>
      <w:bookmarkStart w:id="667" w:name="_Toc71097221"/>
      <w:bookmarkStart w:id="668" w:name="_Toc71097252"/>
      <w:bookmarkStart w:id="669" w:name="_Toc71097327"/>
      <w:bookmarkStart w:id="670" w:name="_Toc71108067"/>
      <w:bookmarkStart w:id="671" w:name="_Toc79055261"/>
      <w:bookmarkStart w:id="672" w:name="_Toc79055292"/>
      <w:bookmarkStart w:id="673" w:name="_Toc79060183"/>
      <w:bookmarkStart w:id="674" w:name="_Toc79060470"/>
      <w:bookmarkStart w:id="675" w:name="_Toc81307827"/>
      <w:bookmarkStart w:id="676" w:name="_Toc83376488"/>
      <w:bookmarkStart w:id="677" w:name="_Toc86386727"/>
      <w:bookmarkStart w:id="678" w:name="_Toc86405413"/>
      <w:bookmarkStart w:id="679" w:name="_Toc98162443"/>
      <w:bookmarkStart w:id="680" w:name="_Toc98162475"/>
      <w:bookmarkStart w:id="681" w:name="_Toc98235001"/>
      <w:bookmarkStart w:id="682" w:name="_Toc98235196"/>
      <w:bookmarkStart w:id="683" w:name="_Toc98235281"/>
      <w:bookmarkStart w:id="684" w:name="_Toc98757151"/>
      <w:bookmarkStart w:id="685" w:name="_Toc101874706"/>
      <w:bookmarkStart w:id="686" w:name="_Toc101954162"/>
      <w:bookmarkStart w:id="687" w:name="_Toc101971979"/>
      <w:bookmarkStart w:id="688" w:name="_Toc101974071"/>
      <w:bookmarkStart w:id="689" w:name="_Toc102039756"/>
      <w:bookmarkStart w:id="690" w:name="_Toc102039794"/>
      <w:bookmarkStart w:id="691" w:name="_Toc102039834"/>
      <w:bookmarkStart w:id="692" w:name="_Toc102039865"/>
      <w:bookmarkStart w:id="693" w:name="_Toc102040923"/>
      <w:bookmarkStart w:id="694" w:name="_Toc102477771"/>
      <w:bookmarkStart w:id="695" w:name="_Toc102477802"/>
      <w:bookmarkStart w:id="696" w:name="_Toc109824832"/>
      <w:bookmarkStart w:id="697" w:name="_Toc109828788"/>
      <w:bookmarkStart w:id="698" w:name="_Toc109828851"/>
      <w:bookmarkStart w:id="699" w:name="_Toc109829027"/>
      <w:bookmarkStart w:id="700" w:name="_Toc109829058"/>
      <w:bookmarkStart w:id="701" w:name="_Toc109833902"/>
      <w:bookmarkStart w:id="702" w:name="_Toc1102374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56FB527D"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03" w:name="_Toc55374010"/>
      <w:bookmarkStart w:id="704" w:name="_Toc55375147"/>
      <w:bookmarkStart w:id="705" w:name="_Toc55396555"/>
      <w:bookmarkStart w:id="706" w:name="_Toc65230552"/>
      <w:bookmarkStart w:id="707" w:name="_Toc65230790"/>
      <w:bookmarkStart w:id="708" w:name="_Toc65232074"/>
      <w:bookmarkStart w:id="709" w:name="_Toc65232319"/>
      <w:bookmarkStart w:id="710" w:name="_Toc66716178"/>
      <w:bookmarkStart w:id="711" w:name="_Toc71097222"/>
      <w:bookmarkStart w:id="712" w:name="_Toc71097253"/>
      <w:bookmarkStart w:id="713" w:name="_Toc71097328"/>
      <w:bookmarkStart w:id="714" w:name="_Toc71108068"/>
      <w:bookmarkStart w:id="715" w:name="_Toc79055262"/>
      <w:bookmarkStart w:id="716" w:name="_Toc79055293"/>
      <w:bookmarkStart w:id="717" w:name="_Toc79060184"/>
      <w:bookmarkStart w:id="718" w:name="_Toc79060471"/>
      <w:bookmarkStart w:id="719" w:name="_Toc81307828"/>
      <w:bookmarkStart w:id="720" w:name="_Toc83376489"/>
      <w:bookmarkStart w:id="721" w:name="_Toc86386728"/>
      <w:bookmarkStart w:id="722" w:name="_Toc86405414"/>
      <w:bookmarkStart w:id="723" w:name="_Toc98162444"/>
      <w:bookmarkStart w:id="724" w:name="_Toc98162476"/>
      <w:bookmarkStart w:id="725" w:name="_Toc98235002"/>
      <w:bookmarkStart w:id="726" w:name="_Toc98235197"/>
      <w:bookmarkStart w:id="727" w:name="_Toc98235282"/>
      <w:bookmarkStart w:id="728" w:name="_Toc98757152"/>
      <w:bookmarkStart w:id="729" w:name="_Toc101874707"/>
      <w:bookmarkStart w:id="730" w:name="_Toc101954163"/>
      <w:bookmarkStart w:id="731" w:name="_Toc101971980"/>
      <w:bookmarkStart w:id="732" w:name="_Toc101974072"/>
      <w:bookmarkStart w:id="733" w:name="_Toc102039757"/>
      <w:bookmarkStart w:id="734" w:name="_Toc102039795"/>
      <w:bookmarkStart w:id="735" w:name="_Toc102039835"/>
      <w:bookmarkStart w:id="736" w:name="_Toc102039866"/>
      <w:bookmarkStart w:id="737" w:name="_Toc102040924"/>
      <w:bookmarkStart w:id="738" w:name="_Toc102477772"/>
      <w:bookmarkStart w:id="739" w:name="_Toc102477803"/>
      <w:bookmarkStart w:id="740" w:name="_Toc109824833"/>
      <w:bookmarkStart w:id="741" w:name="_Toc109828789"/>
      <w:bookmarkStart w:id="742" w:name="_Toc109828852"/>
      <w:bookmarkStart w:id="743" w:name="_Toc109829028"/>
      <w:bookmarkStart w:id="744" w:name="_Toc109829059"/>
      <w:bookmarkStart w:id="745" w:name="_Toc109833903"/>
      <w:bookmarkStart w:id="746" w:name="_Toc110237446"/>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0298658C"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47" w:name="_Toc55374011"/>
      <w:bookmarkStart w:id="748" w:name="_Toc55375148"/>
      <w:bookmarkStart w:id="749" w:name="_Toc55396556"/>
      <w:bookmarkStart w:id="750" w:name="_Toc65230553"/>
      <w:bookmarkStart w:id="751" w:name="_Toc65230791"/>
      <w:bookmarkStart w:id="752" w:name="_Toc65232075"/>
      <w:bookmarkStart w:id="753" w:name="_Toc65232320"/>
      <w:bookmarkStart w:id="754" w:name="_Toc66716179"/>
      <w:bookmarkStart w:id="755" w:name="_Toc71097223"/>
      <w:bookmarkStart w:id="756" w:name="_Toc71097254"/>
      <w:bookmarkStart w:id="757" w:name="_Toc71097329"/>
      <w:bookmarkStart w:id="758" w:name="_Toc71108069"/>
      <w:bookmarkStart w:id="759" w:name="_Toc79055263"/>
      <w:bookmarkStart w:id="760" w:name="_Toc79055294"/>
      <w:bookmarkStart w:id="761" w:name="_Toc79060185"/>
      <w:bookmarkStart w:id="762" w:name="_Toc79060472"/>
      <w:bookmarkStart w:id="763" w:name="_Toc81307829"/>
      <w:bookmarkStart w:id="764" w:name="_Toc83376490"/>
      <w:bookmarkStart w:id="765" w:name="_Toc86386729"/>
      <w:bookmarkStart w:id="766" w:name="_Toc86405415"/>
      <w:bookmarkStart w:id="767" w:name="_Toc98162445"/>
      <w:bookmarkStart w:id="768" w:name="_Toc98162477"/>
      <w:bookmarkStart w:id="769" w:name="_Toc98235003"/>
      <w:bookmarkStart w:id="770" w:name="_Toc98235198"/>
      <w:bookmarkStart w:id="771" w:name="_Toc98235283"/>
      <w:bookmarkStart w:id="772" w:name="_Toc98757153"/>
      <w:bookmarkStart w:id="773" w:name="_Toc101874708"/>
      <w:bookmarkStart w:id="774" w:name="_Toc101954164"/>
      <w:bookmarkStart w:id="775" w:name="_Toc101971981"/>
      <w:bookmarkStart w:id="776" w:name="_Toc101974073"/>
      <w:bookmarkStart w:id="777" w:name="_Toc102039758"/>
      <w:bookmarkStart w:id="778" w:name="_Toc102039796"/>
      <w:bookmarkStart w:id="779" w:name="_Toc102039836"/>
      <w:bookmarkStart w:id="780" w:name="_Toc102039867"/>
      <w:bookmarkStart w:id="781" w:name="_Toc102040925"/>
      <w:bookmarkStart w:id="782" w:name="_Toc102477773"/>
      <w:bookmarkStart w:id="783" w:name="_Toc102477804"/>
      <w:bookmarkStart w:id="784" w:name="_Toc109824834"/>
      <w:bookmarkStart w:id="785" w:name="_Toc109828790"/>
      <w:bookmarkStart w:id="786" w:name="_Toc109828853"/>
      <w:bookmarkStart w:id="787" w:name="_Toc109829029"/>
      <w:bookmarkStart w:id="788" w:name="_Toc109829060"/>
      <w:bookmarkStart w:id="789" w:name="_Toc109833904"/>
      <w:bookmarkStart w:id="790" w:name="_Toc110237447"/>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2B7C610F"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91" w:name="_Toc55374012"/>
      <w:bookmarkStart w:id="792" w:name="_Toc55375149"/>
      <w:bookmarkStart w:id="793" w:name="_Toc55396557"/>
      <w:bookmarkStart w:id="794" w:name="_Toc65230554"/>
      <w:bookmarkStart w:id="795" w:name="_Toc65230792"/>
      <w:bookmarkStart w:id="796" w:name="_Toc65232076"/>
      <w:bookmarkStart w:id="797" w:name="_Toc65232321"/>
      <w:bookmarkStart w:id="798" w:name="_Toc66716180"/>
      <w:bookmarkStart w:id="799" w:name="_Toc71097224"/>
      <w:bookmarkStart w:id="800" w:name="_Toc71097255"/>
      <w:bookmarkStart w:id="801" w:name="_Toc71097330"/>
      <w:bookmarkStart w:id="802" w:name="_Toc71108070"/>
      <w:bookmarkStart w:id="803" w:name="_Toc79055264"/>
      <w:bookmarkStart w:id="804" w:name="_Toc79055295"/>
      <w:bookmarkStart w:id="805" w:name="_Toc79060186"/>
      <w:bookmarkStart w:id="806" w:name="_Toc79060473"/>
      <w:bookmarkStart w:id="807" w:name="_Toc81307830"/>
      <w:bookmarkStart w:id="808" w:name="_Toc83376491"/>
      <w:bookmarkStart w:id="809" w:name="_Toc86386730"/>
      <w:bookmarkStart w:id="810" w:name="_Toc86405416"/>
      <w:bookmarkStart w:id="811" w:name="_Toc98162446"/>
      <w:bookmarkStart w:id="812" w:name="_Toc98162478"/>
      <w:bookmarkStart w:id="813" w:name="_Toc98235004"/>
      <w:bookmarkStart w:id="814" w:name="_Toc98235199"/>
      <w:bookmarkStart w:id="815" w:name="_Toc98235284"/>
      <w:bookmarkStart w:id="816" w:name="_Toc98757154"/>
      <w:bookmarkStart w:id="817" w:name="_Toc101874709"/>
      <w:bookmarkStart w:id="818" w:name="_Toc101954165"/>
      <w:bookmarkStart w:id="819" w:name="_Toc101971982"/>
      <w:bookmarkStart w:id="820" w:name="_Toc101974074"/>
      <w:bookmarkStart w:id="821" w:name="_Toc102039759"/>
      <w:bookmarkStart w:id="822" w:name="_Toc102039797"/>
      <w:bookmarkStart w:id="823" w:name="_Toc102039837"/>
      <w:bookmarkStart w:id="824" w:name="_Toc102039868"/>
      <w:bookmarkStart w:id="825" w:name="_Toc102040926"/>
      <w:bookmarkStart w:id="826" w:name="_Toc102477774"/>
      <w:bookmarkStart w:id="827" w:name="_Toc102477805"/>
      <w:bookmarkStart w:id="828" w:name="_Toc109824835"/>
      <w:bookmarkStart w:id="829" w:name="_Toc109828791"/>
      <w:bookmarkStart w:id="830" w:name="_Toc109828854"/>
      <w:bookmarkStart w:id="831" w:name="_Toc109829030"/>
      <w:bookmarkStart w:id="832" w:name="_Toc109829061"/>
      <w:bookmarkStart w:id="833" w:name="_Toc109833905"/>
      <w:bookmarkStart w:id="834" w:name="_Toc110237448"/>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5DA454F1"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835" w:name="_Toc55374013"/>
      <w:bookmarkStart w:id="836" w:name="_Toc55375150"/>
      <w:bookmarkStart w:id="837" w:name="_Toc55396558"/>
      <w:bookmarkStart w:id="838" w:name="_Toc65230555"/>
      <w:bookmarkStart w:id="839" w:name="_Toc65230793"/>
      <w:bookmarkStart w:id="840" w:name="_Toc65232077"/>
      <w:bookmarkStart w:id="841" w:name="_Toc65232322"/>
      <w:bookmarkStart w:id="842" w:name="_Toc66716181"/>
      <w:bookmarkStart w:id="843" w:name="_Toc71097225"/>
      <w:bookmarkStart w:id="844" w:name="_Toc71097256"/>
      <w:bookmarkStart w:id="845" w:name="_Toc71097331"/>
      <w:bookmarkStart w:id="846" w:name="_Toc71108071"/>
      <w:bookmarkStart w:id="847" w:name="_Toc79055265"/>
      <w:bookmarkStart w:id="848" w:name="_Toc79055296"/>
      <w:bookmarkStart w:id="849" w:name="_Toc79060187"/>
      <w:bookmarkStart w:id="850" w:name="_Toc79060474"/>
      <w:bookmarkStart w:id="851" w:name="_Toc81307831"/>
      <w:bookmarkStart w:id="852" w:name="_Toc83376492"/>
      <w:bookmarkStart w:id="853" w:name="_Toc86386731"/>
      <w:bookmarkStart w:id="854" w:name="_Toc86405417"/>
      <w:bookmarkStart w:id="855" w:name="_Toc98162447"/>
      <w:bookmarkStart w:id="856" w:name="_Toc98162479"/>
      <w:bookmarkStart w:id="857" w:name="_Toc98235005"/>
      <w:bookmarkStart w:id="858" w:name="_Toc98235200"/>
      <w:bookmarkStart w:id="859" w:name="_Toc98235285"/>
      <w:bookmarkStart w:id="860" w:name="_Toc98757155"/>
      <w:bookmarkStart w:id="861" w:name="_Toc101874710"/>
      <w:bookmarkStart w:id="862" w:name="_Toc101954166"/>
      <w:bookmarkStart w:id="863" w:name="_Toc101971983"/>
      <w:bookmarkStart w:id="864" w:name="_Toc101974075"/>
      <w:bookmarkStart w:id="865" w:name="_Toc102039760"/>
      <w:bookmarkStart w:id="866" w:name="_Toc102039798"/>
      <w:bookmarkStart w:id="867" w:name="_Toc102039838"/>
      <w:bookmarkStart w:id="868" w:name="_Toc102039869"/>
      <w:bookmarkStart w:id="869" w:name="_Toc102040927"/>
      <w:bookmarkStart w:id="870" w:name="_Toc102477775"/>
      <w:bookmarkStart w:id="871" w:name="_Toc102477806"/>
      <w:bookmarkStart w:id="872" w:name="_Toc109824836"/>
      <w:bookmarkStart w:id="873" w:name="_Toc109828792"/>
      <w:bookmarkStart w:id="874" w:name="_Toc109828855"/>
      <w:bookmarkStart w:id="875" w:name="_Toc109829031"/>
      <w:bookmarkStart w:id="876" w:name="_Toc109829062"/>
      <w:bookmarkStart w:id="877" w:name="_Toc109833906"/>
      <w:bookmarkStart w:id="878" w:name="_Toc110237449"/>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045B7FE4" w14:textId="77777777" w:rsidR="00C56688" w:rsidRPr="00DB556E"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879" w:name="_Toc55374014"/>
      <w:bookmarkStart w:id="880" w:name="_Toc55375151"/>
      <w:bookmarkStart w:id="881" w:name="_Toc55396559"/>
      <w:bookmarkStart w:id="882" w:name="_Toc65230556"/>
      <w:bookmarkStart w:id="883" w:name="_Toc65230794"/>
      <w:bookmarkStart w:id="884" w:name="_Toc65232078"/>
      <w:bookmarkStart w:id="885" w:name="_Toc65232323"/>
      <w:bookmarkStart w:id="886" w:name="_Toc66716182"/>
      <w:bookmarkStart w:id="887" w:name="_Toc71097226"/>
      <w:bookmarkStart w:id="888" w:name="_Toc71097257"/>
      <w:bookmarkStart w:id="889" w:name="_Toc71097332"/>
      <w:bookmarkStart w:id="890" w:name="_Toc71108072"/>
      <w:bookmarkStart w:id="891" w:name="_Toc79055266"/>
      <w:bookmarkStart w:id="892" w:name="_Toc79055297"/>
      <w:bookmarkStart w:id="893" w:name="_Toc79060188"/>
      <w:bookmarkStart w:id="894" w:name="_Toc79060475"/>
      <w:bookmarkStart w:id="895" w:name="_Toc81307832"/>
      <w:bookmarkStart w:id="896" w:name="_Toc83376493"/>
      <w:bookmarkStart w:id="897" w:name="_Toc86386732"/>
      <w:bookmarkStart w:id="898" w:name="_Toc86405418"/>
      <w:bookmarkStart w:id="899" w:name="_Toc98162448"/>
      <w:bookmarkStart w:id="900" w:name="_Toc98162480"/>
      <w:bookmarkStart w:id="901" w:name="_Toc98235006"/>
      <w:bookmarkStart w:id="902" w:name="_Toc98235201"/>
      <w:bookmarkStart w:id="903" w:name="_Toc98235286"/>
      <w:bookmarkStart w:id="904" w:name="_Toc98757156"/>
      <w:bookmarkStart w:id="905" w:name="_Toc101874711"/>
      <w:bookmarkStart w:id="906" w:name="_Toc101954167"/>
      <w:bookmarkStart w:id="907" w:name="_Toc101971984"/>
      <w:bookmarkStart w:id="908" w:name="_Toc101974076"/>
      <w:bookmarkStart w:id="909" w:name="_Toc102039761"/>
      <w:bookmarkStart w:id="910" w:name="_Toc102039799"/>
      <w:bookmarkStart w:id="911" w:name="_Toc102039839"/>
      <w:bookmarkStart w:id="912" w:name="_Toc102039870"/>
      <w:bookmarkStart w:id="913" w:name="_Toc102040928"/>
      <w:bookmarkStart w:id="914" w:name="_Toc102477776"/>
      <w:bookmarkStart w:id="915" w:name="_Toc102477807"/>
      <w:bookmarkStart w:id="916" w:name="_Toc109824837"/>
      <w:bookmarkStart w:id="917" w:name="_Toc109828793"/>
      <w:bookmarkStart w:id="918" w:name="_Toc109828856"/>
      <w:bookmarkStart w:id="919" w:name="_Toc109829032"/>
      <w:bookmarkStart w:id="920" w:name="_Toc109829063"/>
      <w:bookmarkStart w:id="921" w:name="_Toc109833907"/>
      <w:bookmarkStart w:id="922" w:name="_Toc110237450"/>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4545F53E" w14:textId="6873750C" w:rsidR="00490038" w:rsidRPr="00DB556E" w:rsidRDefault="00490038" w:rsidP="00C56688">
      <w:pPr>
        <w:pStyle w:val="Ttulo2"/>
        <w:numPr>
          <w:ilvl w:val="1"/>
          <w:numId w:val="12"/>
        </w:numPr>
        <w:tabs>
          <w:tab w:val="left" w:pos="426"/>
        </w:tabs>
        <w:spacing w:before="0"/>
        <w:rPr>
          <w:rFonts w:ascii="Times New Roman" w:hAnsi="Times New Roman" w:cs="Times New Roman"/>
          <w:color w:val="auto"/>
          <w:sz w:val="24"/>
        </w:rPr>
      </w:pPr>
      <w:bookmarkStart w:id="923" w:name="_Toc110237451"/>
      <w:r w:rsidRPr="00DB556E">
        <w:rPr>
          <w:rFonts w:ascii="Times New Roman" w:hAnsi="Times New Roman" w:cs="Times New Roman"/>
          <w:color w:val="auto"/>
          <w:sz w:val="24"/>
        </w:rPr>
        <w:t>Erogaciones por Función</w:t>
      </w:r>
      <w:r w:rsidR="00745870" w:rsidRPr="00DB556E">
        <w:rPr>
          <w:rFonts w:ascii="Times New Roman" w:hAnsi="Times New Roman" w:cs="Times New Roman"/>
          <w:color w:val="auto"/>
          <w:sz w:val="24"/>
        </w:rPr>
        <w:t xml:space="preserve"> </w:t>
      </w:r>
      <w:r w:rsidR="00C84ECE">
        <w:rPr>
          <w:rFonts w:ascii="Times New Roman" w:hAnsi="Times New Roman" w:cs="Times New Roman"/>
          <w:color w:val="auto"/>
          <w:sz w:val="24"/>
        </w:rPr>
        <w:t xml:space="preserve">continúan </w:t>
      </w:r>
      <w:r w:rsidR="00944641">
        <w:rPr>
          <w:rFonts w:ascii="Times New Roman" w:hAnsi="Times New Roman" w:cs="Times New Roman"/>
          <w:color w:val="auto"/>
          <w:sz w:val="24"/>
        </w:rPr>
        <w:t>incrementándose</w:t>
      </w:r>
      <w:bookmarkEnd w:id="923"/>
    </w:p>
    <w:p w14:paraId="27DE13D5" w14:textId="7F820FA5" w:rsidR="0050196D" w:rsidRPr="00DB556E" w:rsidRDefault="005B35BB" w:rsidP="00CD34D6">
      <w:pPr>
        <w:rPr>
          <w:rFonts w:cs="Times New Roman"/>
        </w:rPr>
      </w:pPr>
      <w:r>
        <w:rPr>
          <w:rFonts w:cs="Times New Roman"/>
        </w:rPr>
        <w:t>En materia de</w:t>
      </w:r>
      <w:r w:rsidR="00230F8E">
        <w:rPr>
          <w:rFonts w:cs="Times New Roman"/>
        </w:rPr>
        <w:t xml:space="preserve"> erogaciones,</w:t>
      </w:r>
      <w:r>
        <w:rPr>
          <w:rFonts w:cs="Times New Roman"/>
        </w:rPr>
        <w:t xml:space="preserve"> al finalizar junio el valor total asciende a </w:t>
      </w:r>
      <w:r w:rsidR="006B33B4" w:rsidRPr="00DB556E">
        <w:rPr>
          <w:rFonts w:cs="Times New Roman"/>
        </w:rPr>
        <w:t>Q</w:t>
      </w:r>
      <w:r w:rsidR="00BA52A7" w:rsidRPr="00BA52A7">
        <w:rPr>
          <w:rFonts w:cs="Times New Roman"/>
        </w:rPr>
        <w:t xml:space="preserve">46,948.1 </w:t>
      </w:r>
      <w:r w:rsidR="006B33B4" w:rsidRPr="00DB556E">
        <w:rPr>
          <w:rFonts w:cs="Times New Roman"/>
        </w:rPr>
        <w:t>millones</w:t>
      </w:r>
      <w:r w:rsidR="00BA52A7">
        <w:rPr>
          <w:rFonts w:cs="Times New Roman"/>
        </w:rPr>
        <w:t xml:space="preserve"> </w:t>
      </w:r>
      <w:r w:rsidR="00740627">
        <w:rPr>
          <w:rFonts w:cs="Times New Roman"/>
        </w:rPr>
        <w:t xml:space="preserve">observándose </w:t>
      </w:r>
      <w:r w:rsidR="00BA52A7">
        <w:rPr>
          <w:rFonts w:cs="Times New Roman"/>
        </w:rPr>
        <w:t>un crecimiento de 15.0% (</w:t>
      </w:r>
      <w:r w:rsidR="00FD0BBB">
        <w:rPr>
          <w:rFonts w:cs="Times New Roman"/>
        </w:rPr>
        <w:t>Q</w:t>
      </w:r>
      <w:r w:rsidR="00FD0BBB" w:rsidRPr="00FD0BBB">
        <w:rPr>
          <w:rFonts w:cs="Times New Roman"/>
        </w:rPr>
        <w:t>6,108.2</w:t>
      </w:r>
      <w:r w:rsidR="00FD0BBB">
        <w:rPr>
          <w:rFonts w:cs="Times New Roman"/>
        </w:rPr>
        <w:t xml:space="preserve"> millones)</w:t>
      </w:r>
      <w:r w:rsidR="00FD0BBB" w:rsidRPr="00FD0BBB">
        <w:rPr>
          <w:rFonts w:cs="Times New Roman"/>
        </w:rPr>
        <w:t xml:space="preserve"> </w:t>
      </w:r>
      <w:r w:rsidR="00FD0BBB">
        <w:rPr>
          <w:rFonts w:cs="Times New Roman"/>
        </w:rPr>
        <w:t xml:space="preserve">y el mayor incremento se produce en </w:t>
      </w:r>
      <w:r w:rsidR="00921FB7">
        <w:rPr>
          <w:rFonts w:cs="Times New Roman"/>
        </w:rPr>
        <w:t xml:space="preserve">la destinada a asuntos económicos, los cuales se sitúan </w:t>
      </w:r>
      <w:r w:rsidR="00D21D4C">
        <w:rPr>
          <w:rFonts w:cs="Times New Roman"/>
        </w:rPr>
        <w:t>en torno</w:t>
      </w:r>
      <w:r w:rsidR="00921FB7">
        <w:rPr>
          <w:rFonts w:cs="Times New Roman"/>
        </w:rPr>
        <w:t xml:space="preserve"> a</w:t>
      </w:r>
      <w:r w:rsidR="00502B4E">
        <w:rPr>
          <w:rFonts w:cs="Times New Roman"/>
        </w:rPr>
        <w:t xml:space="preserve"> los</w:t>
      </w:r>
      <w:r w:rsidR="00921FB7">
        <w:rPr>
          <w:rFonts w:cs="Times New Roman"/>
        </w:rPr>
        <w:t xml:space="preserve"> </w:t>
      </w:r>
      <w:r w:rsidR="00502B4E">
        <w:rPr>
          <w:rFonts w:cs="Times New Roman"/>
        </w:rPr>
        <w:t>Q</w:t>
      </w:r>
      <w:r w:rsidR="00D21D4C" w:rsidRPr="00D21D4C">
        <w:rPr>
          <w:rFonts w:cs="Times New Roman"/>
        </w:rPr>
        <w:t xml:space="preserve">4,930.3 </w:t>
      </w:r>
      <w:r w:rsidR="00502B4E">
        <w:rPr>
          <w:rFonts w:cs="Times New Roman"/>
        </w:rPr>
        <w:t>millones</w:t>
      </w:r>
      <w:r w:rsidR="009336AB">
        <w:rPr>
          <w:rFonts w:cs="Times New Roman"/>
        </w:rPr>
        <w:t>, siendo</w:t>
      </w:r>
      <w:r w:rsidR="00502B4E">
        <w:rPr>
          <w:rFonts w:cs="Times New Roman"/>
        </w:rPr>
        <w:t xml:space="preserve"> un aument</w:t>
      </w:r>
      <w:r w:rsidR="009336AB">
        <w:rPr>
          <w:rFonts w:cs="Times New Roman"/>
        </w:rPr>
        <w:t>o</w:t>
      </w:r>
      <w:r w:rsidR="00740627">
        <w:rPr>
          <w:rFonts w:cs="Times New Roman"/>
        </w:rPr>
        <w:t xml:space="preserve"> en términos interanuales un</w:t>
      </w:r>
      <w:r w:rsidR="00502B4E">
        <w:rPr>
          <w:rFonts w:cs="Times New Roman"/>
        </w:rPr>
        <w:t xml:space="preserve"> </w:t>
      </w:r>
      <w:r w:rsidR="00D21D4C">
        <w:rPr>
          <w:rFonts w:cs="Times New Roman"/>
        </w:rPr>
        <w:t>43.1% (</w:t>
      </w:r>
      <w:r w:rsidR="00AE4C2A">
        <w:rPr>
          <w:rFonts w:cs="Times New Roman"/>
        </w:rPr>
        <w:t>Q</w:t>
      </w:r>
      <w:r w:rsidR="00AE4C2A" w:rsidRPr="00AE4C2A">
        <w:rPr>
          <w:rFonts w:cs="Times New Roman"/>
        </w:rPr>
        <w:t xml:space="preserve">1,484.2 </w:t>
      </w:r>
      <w:r w:rsidR="00AE4C2A">
        <w:rPr>
          <w:rFonts w:cs="Times New Roman"/>
        </w:rPr>
        <w:t>millones) producto</w:t>
      </w:r>
      <w:r w:rsidR="00F877EF">
        <w:rPr>
          <w:rFonts w:cs="Times New Roman"/>
        </w:rPr>
        <w:t xml:space="preserve"> de la erogación enfocada a </w:t>
      </w:r>
      <w:r w:rsidR="00C56C1A">
        <w:rPr>
          <w:rFonts w:cs="Times New Roman"/>
        </w:rPr>
        <w:t>combustibles y energías</w:t>
      </w:r>
      <w:r w:rsidR="006B0328">
        <w:rPr>
          <w:rFonts w:cs="Times New Roman"/>
        </w:rPr>
        <w:t xml:space="preserve"> que en el presente año </w:t>
      </w:r>
      <w:r w:rsidR="00740627">
        <w:rPr>
          <w:rFonts w:cs="Times New Roman"/>
        </w:rPr>
        <w:t xml:space="preserve">se incrementó </w:t>
      </w:r>
      <w:r w:rsidR="006B0328">
        <w:rPr>
          <w:rFonts w:cs="Times New Roman"/>
        </w:rPr>
        <w:t>por la entrega del subsidio al gas y a</w:t>
      </w:r>
      <w:r w:rsidR="000853F6">
        <w:rPr>
          <w:rFonts w:cs="Times New Roman"/>
        </w:rPr>
        <w:t xml:space="preserve"> </w:t>
      </w:r>
      <w:r w:rsidR="006B0328">
        <w:rPr>
          <w:rFonts w:cs="Times New Roman"/>
        </w:rPr>
        <w:t>l</w:t>
      </w:r>
      <w:r w:rsidR="000853F6">
        <w:rPr>
          <w:rFonts w:cs="Times New Roman"/>
        </w:rPr>
        <w:t>os</w:t>
      </w:r>
      <w:r w:rsidR="006B0328">
        <w:rPr>
          <w:rFonts w:cs="Times New Roman"/>
        </w:rPr>
        <w:t xml:space="preserve"> </w:t>
      </w:r>
      <w:r w:rsidR="000853F6">
        <w:rPr>
          <w:rFonts w:cs="Times New Roman"/>
        </w:rPr>
        <w:t>combustibles</w:t>
      </w:r>
      <w:r w:rsidR="00332B04" w:rsidRPr="00DB556E">
        <w:rPr>
          <w:rFonts w:cs="Times New Roman"/>
        </w:rPr>
        <w:t>.</w:t>
      </w:r>
    </w:p>
    <w:p w14:paraId="0DAB90B9" w14:textId="77777777" w:rsidR="007B3242" w:rsidRPr="00DB556E" w:rsidRDefault="007B3242" w:rsidP="00CD34D6">
      <w:pPr>
        <w:rPr>
          <w:rFonts w:cs="Times New Roman"/>
        </w:rPr>
      </w:pPr>
    </w:p>
    <w:p w14:paraId="09DBC17B" w14:textId="146EBBED" w:rsidR="002F5792" w:rsidRPr="00DB556E" w:rsidRDefault="00827000" w:rsidP="00CD34D6">
      <w:pPr>
        <w:rPr>
          <w:rFonts w:cs="Times New Roman"/>
        </w:rPr>
      </w:pPr>
      <w:r>
        <w:rPr>
          <w:rFonts w:cs="Times New Roman"/>
        </w:rPr>
        <w:t>El segundo mayor incremento se produce en las erogaciones enfocadas a la</w:t>
      </w:r>
      <w:r w:rsidR="00D4632B">
        <w:rPr>
          <w:rFonts w:cs="Times New Roman"/>
        </w:rPr>
        <w:t xml:space="preserve"> educación, que se sitúan en Q</w:t>
      </w:r>
      <w:r w:rsidR="00D4632B" w:rsidRPr="00D4632B">
        <w:rPr>
          <w:rFonts w:cs="Times New Roman"/>
        </w:rPr>
        <w:t xml:space="preserve">10,798.3 </w:t>
      </w:r>
      <w:r w:rsidR="00D4632B">
        <w:rPr>
          <w:rFonts w:cs="Times New Roman"/>
        </w:rPr>
        <w:t xml:space="preserve">millones con un incremento interanual de </w:t>
      </w:r>
      <w:r w:rsidR="00DC5267">
        <w:rPr>
          <w:rFonts w:cs="Times New Roman"/>
        </w:rPr>
        <w:t>15.4% (Q1,438.7 millones)</w:t>
      </w:r>
      <w:r w:rsidR="003E65B3">
        <w:rPr>
          <w:rFonts w:cs="Times New Roman"/>
        </w:rPr>
        <w:t xml:space="preserve"> y en esta categoría, las </w:t>
      </w:r>
      <w:r w:rsidR="009336AB">
        <w:rPr>
          <w:rFonts w:cs="Times New Roman"/>
        </w:rPr>
        <w:t>subcategorías</w:t>
      </w:r>
      <w:r w:rsidR="003E65B3">
        <w:rPr>
          <w:rFonts w:cs="Times New Roman"/>
        </w:rPr>
        <w:t xml:space="preserve"> </w:t>
      </w:r>
      <w:r w:rsidR="009336AB">
        <w:rPr>
          <w:rFonts w:cs="Times New Roman"/>
        </w:rPr>
        <w:t>más</w:t>
      </w:r>
      <w:r w:rsidR="00895126">
        <w:rPr>
          <w:rFonts w:cs="Times New Roman"/>
        </w:rPr>
        <w:t xml:space="preserve"> destacables por su crecimiento son; los servicios auxiliares de la educación que </w:t>
      </w:r>
      <w:r w:rsidR="00C62B0D">
        <w:rPr>
          <w:rFonts w:cs="Times New Roman"/>
        </w:rPr>
        <w:t>crecieron en 42.1% (Q</w:t>
      </w:r>
      <w:r w:rsidR="00C62B0D" w:rsidRPr="00C62B0D">
        <w:rPr>
          <w:rFonts w:cs="Times New Roman"/>
        </w:rPr>
        <w:t>768.2</w:t>
      </w:r>
      <w:r w:rsidR="00C62B0D">
        <w:rPr>
          <w:rFonts w:cs="Times New Roman"/>
        </w:rPr>
        <w:t xml:space="preserve"> millones), seguido de las enfocadas en enseñanza preescolar y primaria con un aumento de 9.5% (Q502.2 millones) y </w:t>
      </w:r>
      <w:r w:rsidR="00C2667C">
        <w:rPr>
          <w:rFonts w:cs="Times New Roman"/>
        </w:rPr>
        <w:t>en la educación no clasificadas en otra parte con variación de 29.2% (Q130.2 millones)</w:t>
      </w:r>
      <w:r w:rsidR="00912E91">
        <w:rPr>
          <w:rFonts w:cs="Times New Roman"/>
        </w:rPr>
        <w:t>.</w:t>
      </w:r>
    </w:p>
    <w:p w14:paraId="4E9A4EF8" w14:textId="77777777" w:rsidR="007F3BED" w:rsidRPr="00DB556E" w:rsidRDefault="007F3BED" w:rsidP="00CD34D6">
      <w:pPr>
        <w:rPr>
          <w:rFonts w:cs="Times New Roman"/>
        </w:rPr>
      </w:pPr>
    </w:p>
    <w:p w14:paraId="10D45E48" w14:textId="42FA98E1" w:rsidR="007F3BED" w:rsidRPr="00DB556E" w:rsidRDefault="005C49D5" w:rsidP="00CD34D6">
      <w:pPr>
        <w:rPr>
          <w:rFonts w:cs="Times New Roman"/>
        </w:rPr>
      </w:pPr>
      <w:r>
        <w:rPr>
          <w:rFonts w:cs="Times New Roman"/>
        </w:rPr>
        <w:t>L</w:t>
      </w:r>
      <w:r w:rsidR="005920FD">
        <w:rPr>
          <w:rFonts w:cs="Times New Roman"/>
        </w:rPr>
        <w:t xml:space="preserve">as erogaciones </w:t>
      </w:r>
      <w:r w:rsidR="003F1414">
        <w:rPr>
          <w:rFonts w:cs="Times New Roman"/>
        </w:rPr>
        <w:t xml:space="preserve">en orden público y seguridad </w:t>
      </w:r>
      <w:r w:rsidR="00880ECC">
        <w:rPr>
          <w:rFonts w:cs="Times New Roman"/>
        </w:rPr>
        <w:t>han ascendido a Q</w:t>
      </w:r>
      <w:r w:rsidR="00D43A68" w:rsidRPr="00D43A68">
        <w:rPr>
          <w:rFonts w:cs="Times New Roman"/>
        </w:rPr>
        <w:t>5,708.2</w:t>
      </w:r>
      <w:r w:rsidR="00D43A68">
        <w:rPr>
          <w:rFonts w:cs="Times New Roman"/>
        </w:rPr>
        <w:t xml:space="preserve"> millones con un aumento de 15.1% (Q748.9 millones)</w:t>
      </w:r>
      <w:r w:rsidR="005925C4">
        <w:rPr>
          <w:rFonts w:cs="Times New Roman"/>
        </w:rPr>
        <w:t xml:space="preserve"> siendo el mayor incremento las enfocadas a tribunales de justicia que aumentaron en 35.0% (Q814.9 millones) y </w:t>
      </w:r>
      <w:r w:rsidR="001C336B">
        <w:rPr>
          <w:rFonts w:cs="Times New Roman"/>
        </w:rPr>
        <w:t>seguido de las enfocadas en servicios de policía que tiene un crecimiento de 10.9% (Q</w:t>
      </w:r>
      <w:r w:rsidR="009767D1">
        <w:rPr>
          <w:rFonts w:cs="Times New Roman"/>
        </w:rPr>
        <w:t>203.2 millones)</w:t>
      </w:r>
      <w:r w:rsidR="00103FCC" w:rsidRPr="00DB556E">
        <w:rPr>
          <w:rFonts w:cs="Times New Roman"/>
        </w:rPr>
        <w:t>.</w:t>
      </w:r>
    </w:p>
    <w:p w14:paraId="3E31AFFF" w14:textId="77777777" w:rsidR="00E15558" w:rsidRPr="00DB556E" w:rsidRDefault="00E15558" w:rsidP="00CD34D6">
      <w:pPr>
        <w:rPr>
          <w:rFonts w:cs="Times New Roman"/>
        </w:rPr>
      </w:pPr>
    </w:p>
    <w:p w14:paraId="13399A30" w14:textId="77777777" w:rsidR="00F80C82" w:rsidRPr="00DB556E" w:rsidRDefault="00F80C82" w:rsidP="00CD34D6">
      <w:pPr>
        <w:rPr>
          <w:rFonts w:cs="Times New Roman"/>
        </w:rPr>
      </w:pPr>
      <w:r w:rsidRPr="00DB556E">
        <w:rPr>
          <w:rFonts w:cs="Times New Roman"/>
          <w:noProof/>
          <w:lang w:eastAsia="es-GT"/>
        </w:rPr>
        <w:drawing>
          <wp:inline distT="0" distB="0" distL="0" distR="0" wp14:anchorId="611B702D" wp14:editId="125CAF91">
            <wp:extent cx="5934710" cy="3827417"/>
            <wp:effectExtent l="0" t="0" r="889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B1AF38" w14:textId="5EBE96DD" w:rsidR="00F80C82" w:rsidRPr="00DB556E" w:rsidRDefault="004D6F3B" w:rsidP="00CD34D6">
      <w:pPr>
        <w:rPr>
          <w:rFonts w:cs="Times New Roman"/>
        </w:rPr>
      </w:pPr>
      <w:r>
        <w:rPr>
          <w:rFonts w:cs="Times New Roman"/>
        </w:rPr>
        <w:lastRenderedPageBreak/>
        <w:t>Las erogaciones destinadas</w:t>
      </w:r>
      <w:r w:rsidR="00E5792F" w:rsidRPr="00DB556E">
        <w:rPr>
          <w:rFonts w:cs="Times New Roman"/>
        </w:rPr>
        <w:t xml:space="preserve"> a </w:t>
      </w:r>
      <w:r>
        <w:rPr>
          <w:rFonts w:cs="Times New Roman"/>
        </w:rPr>
        <w:t xml:space="preserve">la función de </w:t>
      </w:r>
      <w:r w:rsidR="00E5792F" w:rsidRPr="00DB556E">
        <w:rPr>
          <w:rFonts w:cs="Times New Roman"/>
        </w:rPr>
        <w:t>vivienda y servicios comunitarios</w:t>
      </w:r>
      <w:r w:rsidR="008E2751" w:rsidRPr="00DB556E">
        <w:rPr>
          <w:rFonts w:cs="Times New Roman"/>
        </w:rPr>
        <w:t xml:space="preserve"> </w:t>
      </w:r>
      <w:r w:rsidR="004B3F83">
        <w:rPr>
          <w:rFonts w:cs="Times New Roman"/>
        </w:rPr>
        <w:t>son de Q</w:t>
      </w:r>
      <w:r w:rsidR="008E4A0E" w:rsidRPr="008E4A0E">
        <w:rPr>
          <w:rFonts w:cs="Times New Roman"/>
        </w:rPr>
        <w:t xml:space="preserve">4,746.3 </w:t>
      </w:r>
      <w:r w:rsidR="008E4A0E">
        <w:rPr>
          <w:rFonts w:cs="Times New Roman"/>
        </w:rPr>
        <w:t>millones teniendo un crecimiento interanual de 17.4% (</w:t>
      </w:r>
      <w:r w:rsidR="00C95832">
        <w:rPr>
          <w:rFonts w:cs="Times New Roman"/>
        </w:rPr>
        <w:t>Q</w:t>
      </w:r>
      <w:r w:rsidR="008E4A0E">
        <w:rPr>
          <w:rFonts w:cs="Times New Roman"/>
        </w:rPr>
        <w:t xml:space="preserve">703.3 millones) </w:t>
      </w:r>
      <w:r w:rsidR="00632AF4">
        <w:rPr>
          <w:rFonts w:cs="Times New Roman"/>
        </w:rPr>
        <w:t>y entre estas, se destaca las enfocadas en desarrollo comunitari</w:t>
      </w:r>
      <w:r w:rsidR="00913431">
        <w:rPr>
          <w:rFonts w:cs="Times New Roman"/>
        </w:rPr>
        <w:t>o</w:t>
      </w:r>
      <w:r w:rsidR="00632AF4">
        <w:rPr>
          <w:rFonts w:cs="Times New Roman"/>
        </w:rPr>
        <w:t xml:space="preserve"> </w:t>
      </w:r>
      <w:r w:rsidR="00C95832">
        <w:rPr>
          <w:rFonts w:cs="Times New Roman"/>
        </w:rPr>
        <w:t>que tiene un crecimiento de 16.9% (Q657.6 millones).</w:t>
      </w:r>
    </w:p>
    <w:p w14:paraId="1A9BE3D8" w14:textId="77777777" w:rsidR="00F80C82" w:rsidRPr="00DB556E" w:rsidRDefault="00F80C82" w:rsidP="00CD34D6">
      <w:pPr>
        <w:rPr>
          <w:rFonts w:cs="Times New Roman"/>
        </w:rPr>
      </w:pPr>
    </w:p>
    <w:p w14:paraId="6980898B" w14:textId="3F655AFC" w:rsidR="00745870" w:rsidRPr="00DB556E" w:rsidRDefault="00913431" w:rsidP="00CD34D6">
      <w:pPr>
        <w:rPr>
          <w:rFonts w:cs="Times New Roman"/>
        </w:rPr>
      </w:pPr>
      <w:r>
        <w:rPr>
          <w:rFonts w:cs="Times New Roman"/>
        </w:rPr>
        <w:t xml:space="preserve">En cuanto a la función de Salud, esta se sitúa en </w:t>
      </w:r>
      <w:r w:rsidR="001756B6">
        <w:rPr>
          <w:rFonts w:cs="Times New Roman"/>
        </w:rPr>
        <w:t>Q</w:t>
      </w:r>
      <w:r w:rsidR="001756B6" w:rsidRPr="001756B6">
        <w:rPr>
          <w:rFonts w:cs="Times New Roman"/>
        </w:rPr>
        <w:t>4,885.0</w:t>
      </w:r>
      <w:r w:rsidR="001756B6">
        <w:rPr>
          <w:rFonts w:cs="Times New Roman"/>
        </w:rPr>
        <w:t xml:space="preserve"> con un aumento de 10.6% (Q466.5 millones) </w:t>
      </w:r>
      <w:r w:rsidR="005E4925">
        <w:rPr>
          <w:rFonts w:cs="Times New Roman"/>
        </w:rPr>
        <w:t xml:space="preserve">y siendo los de mayor incremento interanual, los enfocados en servicios de salud pública que crecieron en </w:t>
      </w:r>
      <w:r w:rsidR="00F80E6D">
        <w:rPr>
          <w:rFonts w:cs="Times New Roman"/>
        </w:rPr>
        <w:t>14.75</w:t>
      </w:r>
      <w:r w:rsidR="009336AB">
        <w:rPr>
          <w:rFonts w:cs="Times New Roman"/>
        </w:rPr>
        <w:t>%</w:t>
      </w:r>
      <w:r w:rsidR="00F80E6D">
        <w:rPr>
          <w:rFonts w:cs="Times New Roman"/>
        </w:rPr>
        <w:t xml:space="preserve"> (Q440.6 millones)</w:t>
      </w:r>
      <w:r w:rsidR="00745870" w:rsidRPr="00DB556E">
        <w:rPr>
          <w:rFonts w:cs="Times New Roman"/>
        </w:rPr>
        <w:t>.</w:t>
      </w:r>
    </w:p>
    <w:p w14:paraId="03297C8E" w14:textId="08565D21" w:rsidR="00745870" w:rsidRPr="00DB556E" w:rsidRDefault="00745870" w:rsidP="00CD34D6">
      <w:pPr>
        <w:rPr>
          <w:rFonts w:cs="Times New Roman"/>
        </w:rPr>
      </w:pPr>
    </w:p>
    <w:p w14:paraId="699C0C01" w14:textId="2E604DD0" w:rsidR="00E15558" w:rsidRPr="00DB556E" w:rsidRDefault="00C34B5F" w:rsidP="00262E84">
      <w:pPr>
        <w:rPr>
          <w:rFonts w:cs="Times New Roman"/>
        </w:rPr>
      </w:pPr>
      <w:r>
        <w:rPr>
          <w:rFonts w:cs="Times New Roman"/>
        </w:rPr>
        <w:t xml:space="preserve">En cuanto a las erogaciones </w:t>
      </w:r>
      <w:r w:rsidR="00262E84">
        <w:rPr>
          <w:rFonts w:cs="Times New Roman"/>
        </w:rPr>
        <w:t>en s</w:t>
      </w:r>
      <w:r w:rsidR="00262E84" w:rsidRPr="00262E84">
        <w:rPr>
          <w:rFonts w:cs="Times New Roman"/>
        </w:rPr>
        <w:t>ervicios públicos generales</w:t>
      </w:r>
      <w:r w:rsidR="00262E84">
        <w:rPr>
          <w:rFonts w:cs="Times New Roman"/>
        </w:rPr>
        <w:t>, estas ascienden a Q</w:t>
      </w:r>
      <w:r w:rsidR="00262E84" w:rsidRPr="00262E84">
        <w:rPr>
          <w:rFonts w:cs="Times New Roman"/>
        </w:rPr>
        <w:t>8,845.4</w:t>
      </w:r>
      <w:r w:rsidR="00722829">
        <w:rPr>
          <w:rFonts w:cs="Times New Roman"/>
        </w:rPr>
        <w:t xml:space="preserve"> millones</w:t>
      </w:r>
      <w:r w:rsidR="00262E84">
        <w:rPr>
          <w:rFonts w:cs="Times New Roman"/>
        </w:rPr>
        <w:t xml:space="preserve"> con un crecimiento de 5.2% (Q437.0 millones)</w:t>
      </w:r>
      <w:r w:rsidR="00722829">
        <w:rPr>
          <w:rFonts w:cs="Times New Roman"/>
        </w:rPr>
        <w:t>, las destinadas para p</w:t>
      </w:r>
      <w:r w:rsidR="00262E84" w:rsidRPr="00262E84">
        <w:rPr>
          <w:rFonts w:cs="Times New Roman"/>
        </w:rPr>
        <w:t xml:space="preserve">rotección social </w:t>
      </w:r>
      <w:r w:rsidR="00722829">
        <w:rPr>
          <w:rFonts w:cs="Times New Roman"/>
        </w:rPr>
        <w:t>se encuentra entorno a Q</w:t>
      </w:r>
      <w:r w:rsidR="00722829" w:rsidRPr="00722829">
        <w:rPr>
          <w:rFonts w:cs="Times New Roman"/>
        </w:rPr>
        <w:t>4,984.0</w:t>
      </w:r>
      <w:r w:rsidR="00722829">
        <w:rPr>
          <w:rFonts w:cs="Times New Roman"/>
        </w:rPr>
        <w:t xml:space="preserve"> millones teniendo una crecimiento </w:t>
      </w:r>
      <w:r w:rsidR="001C508F">
        <w:rPr>
          <w:rFonts w:cs="Times New Roman"/>
        </w:rPr>
        <w:t>de 8.4% (Q385.7 millones), el destinado para d</w:t>
      </w:r>
      <w:r w:rsidR="00262E84" w:rsidRPr="00262E84">
        <w:rPr>
          <w:rFonts w:cs="Times New Roman"/>
        </w:rPr>
        <w:t xml:space="preserve">efensa </w:t>
      </w:r>
      <w:r w:rsidR="001C508F">
        <w:rPr>
          <w:rFonts w:cs="Times New Roman"/>
        </w:rPr>
        <w:t>es de Q</w:t>
      </w:r>
      <w:r w:rsidR="001C508F" w:rsidRPr="001C508F">
        <w:t xml:space="preserve"> </w:t>
      </w:r>
      <w:r w:rsidR="001C508F" w:rsidRPr="001C508F">
        <w:rPr>
          <w:rFonts w:cs="Times New Roman"/>
        </w:rPr>
        <w:t>1,035.0</w:t>
      </w:r>
      <w:r w:rsidR="001C508F">
        <w:rPr>
          <w:rFonts w:cs="Times New Roman"/>
        </w:rPr>
        <w:t xml:space="preserve"> millones con una variación interanual de </w:t>
      </w:r>
      <w:r w:rsidR="00505C71">
        <w:rPr>
          <w:rFonts w:cs="Times New Roman"/>
        </w:rPr>
        <w:t>44.1% (Q316.6 millones)</w:t>
      </w:r>
      <w:r w:rsidR="009336AB">
        <w:rPr>
          <w:rFonts w:cs="Times New Roman"/>
        </w:rPr>
        <w:t>,</w:t>
      </w:r>
      <w:r w:rsidR="00505C71">
        <w:rPr>
          <w:rFonts w:cs="Times New Roman"/>
        </w:rPr>
        <w:t xml:space="preserve"> mientras que la enfocada en p</w:t>
      </w:r>
      <w:r w:rsidR="00262E84" w:rsidRPr="00262E84">
        <w:rPr>
          <w:rFonts w:cs="Times New Roman"/>
        </w:rPr>
        <w:t xml:space="preserve">rotección del medio ambiente </w:t>
      </w:r>
      <w:r w:rsidR="00505C71">
        <w:rPr>
          <w:rFonts w:cs="Times New Roman"/>
        </w:rPr>
        <w:t xml:space="preserve">es de </w:t>
      </w:r>
      <w:r w:rsidR="00850321">
        <w:rPr>
          <w:rFonts w:cs="Times New Roman"/>
        </w:rPr>
        <w:t>Q</w:t>
      </w:r>
      <w:r w:rsidR="00850321" w:rsidRPr="00850321">
        <w:rPr>
          <w:rFonts w:cs="Times New Roman"/>
        </w:rPr>
        <w:t>512.8</w:t>
      </w:r>
      <w:r w:rsidR="00850321">
        <w:rPr>
          <w:rFonts w:cs="Times New Roman"/>
        </w:rPr>
        <w:t xml:space="preserve"> millones con aumento de 20.9% (Q88.6 millones) y las a</w:t>
      </w:r>
      <w:r w:rsidR="00262E84" w:rsidRPr="00262E84">
        <w:rPr>
          <w:rFonts w:cs="Times New Roman"/>
        </w:rPr>
        <w:t>ctividades recreativas, cultura y religión</w:t>
      </w:r>
      <w:r w:rsidR="00850321">
        <w:rPr>
          <w:rFonts w:cs="Times New Roman"/>
        </w:rPr>
        <w:t xml:space="preserve"> </w:t>
      </w:r>
      <w:r w:rsidR="00C84ECE">
        <w:rPr>
          <w:rFonts w:cs="Times New Roman"/>
        </w:rPr>
        <w:t>ascienden a Q502.8 millones con un incremento de 8.3% (Q38.6 millones)</w:t>
      </w:r>
    </w:p>
    <w:p w14:paraId="228579F4" w14:textId="4DCE5447" w:rsidR="00DA2A6D" w:rsidRPr="00DB556E" w:rsidRDefault="00DA2A6D" w:rsidP="00CD34D6">
      <w:pPr>
        <w:rPr>
          <w:rFonts w:cs="Times New Roman"/>
        </w:rPr>
      </w:pPr>
    </w:p>
    <w:p w14:paraId="75A44C38" w14:textId="5285DD18" w:rsidR="00513B56" w:rsidRPr="00DB556E" w:rsidRDefault="00513B56" w:rsidP="00C56688">
      <w:pPr>
        <w:pStyle w:val="Ttulo2"/>
        <w:numPr>
          <w:ilvl w:val="1"/>
          <w:numId w:val="12"/>
        </w:numPr>
        <w:tabs>
          <w:tab w:val="left" w:pos="426"/>
        </w:tabs>
        <w:spacing w:before="0"/>
        <w:rPr>
          <w:rFonts w:ascii="Times New Roman" w:hAnsi="Times New Roman" w:cs="Times New Roman"/>
          <w:color w:val="auto"/>
          <w:sz w:val="24"/>
        </w:rPr>
      </w:pPr>
      <w:bookmarkStart w:id="924" w:name="_Toc110237452"/>
      <w:r w:rsidRPr="00DB556E">
        <w:rPr>
          <w:rFonts w:ascii="Times New Roman" w:hAnsi="Times New Roman" w:cs="Times New Roman"/>
          <w:color w:val="auto"/>
          <w:sz w:val="24"/>
        </w:rPr>
        <w:t>Grado de Ejecución</w:t>
      </w:r>
      <w:r w:rsidR="0040274D" w:rsidRPr="00DB556E">
        <w:rPr>
          <w:rFonts w:ascii="Times New Roman" w:hAnsi="Times New Roman" w:cs="Times New Roman"/>
          <w:color w:val="auto"/>
          <w:sz w:val="24"/>
        </w:rPr>
        <w:t xml:space="preserve"> Presupuestaria</w:t>
      </w:r>
      <w:bookmarkEnd w:id="924"/>
    </w:p>
    <w:p w14:paraId="50554470" w14:textId="782548E6" w:rsidR="008B017C" w:rsidRPr="008B017C" w:rsidRDefault="00C84ECE" w:rsidP="008B017C">
      <w:pPr>
        <w:pStyle w:val="Sinespaciado"/>
        <w:jc w:val="both"/>
        <w:rPr>
          <w:rFonts w:ascii="Times New Roman" w:hAnsi="Times New Roman" w:cs="Times New Roman"/>
          <w:lang w:val="es-MX"/>
        </w:rPr>
      </w:pPr>
      <w:r w:rsidRPr="00DB556E">
        <w:rPr>
          <w:rFonts w:cs="Times New Roman"/>
          <w:noProof/>
          <w:sz w:val="18"/>
          <w:szCs w:val="18"/>
          <w:lang w:eastAsia="es-GT"/>
        </w:rPr>
        <w:drawing>
          <wp:anchor distT="0" distB="0" distL="114300" distR="114300" simplePos="0" relativeHeight="251663364" behindDoc="0" locked="0" layoutInCell="1" allowOverlap="1" wp14:anchorId="7F7875A4" wp14:editId="41179662">
            <wp:simplePos x="0" y="0"/>
            <wp:positionH relativeFrom="margin">
              <wp:align>right</wp:align>
            </wp:positionH>
            <wp:positionV relativeFrom="page">
              <wp:posOffset>3729355</wp:posOffset>
            </wp:positionV>
            <wp:extent cx="2866390" cy="5420995"/>
            <wp:effectExtent l="0" t="0" r="0" b="8255"/>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8B017C">
        <w:rPr>
          <w:rFonts w:ascii="Times New Roman" w:hAnsi="Times New Roman" w:cs="Times New Roman"/>
          <w:lang w:val="es-MX"/>
        </w:rPr>
        <w:t>Las entidades</w:t>
      </w:r>
      <w:r w:rsidR="008B017C" w:rsidRPr="008B017C">
        <w:rPr>
          <w:rFonts w:ascii="Times New Roman" w:hAnsi="Times New Roman" w:cs="Times New Roman"/>
          <w:lang w:val="es-MX"/>
        </w:rPr>
        <w:t xml:space="preserve"> que muestran el mayor nivel de ejecución</w:t>
      </w:r>
      <w:r w:rsidR="00F915E9">
        <w:rPr>
          <w:rFonts w:ascii="Times New Roman" w:hAnsi="Times New Roman" w:cs="Times New Roman"/>
          <w:lang w:val="es-MX"/>
        </w:rPr>
        <w:t xml:space="preserve"> </w:t>
      </w:r>
      <w:r w:rsidR="009336AB">
        <w:rPr>
          <w:rFonts w:ascii="Times New Roman" w:hAnsi="Times New Roman" w:cs="Times New Roman"/>
          <w:lang w:val="es-MX"/>
        </w:rPr>
        <w:t>presupuestaria</w:t>
      </w:r>
      <w:r w:rsidR="008B017C" w:rsidRPr="008B017C">
        <w:rPr>
          <w:rFonts w:ascii="Times New Roman" w:hAnsi="Times New Roman" w:cs="Times New Roman"/>
          <w:lang w:val="es-MX"/>
        </w:rPr>
        <w:t xml:space="preserve"> son: Energía y Minas (55.5%), PGN (47.7%), Deuda Pública (47.7%), Presidencia (46.1%), Educación (45.9%), Defensa (44.1%), Relaciones Exteriores (44.0%), Trabajo (44.0%) y Obligaciones del Estado (42.9%), todas estas entidades se encuentran por arriba de la ejecución institucional total (42.3%).</w:t>
      </w:r>
    </w:p>
    <w:p w14:paraId="722F6343" w14:textId="77777777" w:rsidR="008B017C" w:rsidRPr="008B017C" w:rsidRDefault="008B017C" w:rsidP="008B017C">
      <w:pPr>
        <w:pStyle w:val="Sinespaciado"/>
        <w:jc w:val="both"/>
        <w:rPr>
          <w:rFonts w:ascii="Times New Roman" w:hAnsi="Times New Roman" w:cs="Times New Roman"/>
          <w:lang w:val="es-MX"/>
        </w:rPr>
      </w:pPr>
    </w:p>
    <w:p w14:paraId="1EFFF4BB" w14:textId="77777777" w:rsidR="008B017C" w:rsidRPr="008B017C" w:rsidRDefault="008B017C" w:rsidP="008B017C">
      <w:pPr>
        <w:pStyle w:val="Sinespaciado"/>
        <w:jc w:val="both"/>
        <w:rPr>
          <w:rFonts w:ascii="Times New Roman" w:hAnsi="Times New Roman" w:cs="Times New Roman"/>
          <w:lang w:val="es-MX"/>
        </w:rPr>
      </w:pPr>
      <w:r w:rsidRPr="008B017C">
        <w:rPr>
          <w:rFonts w:ascii="Times New Roman" w:hAnsi="Times New Roman" w:cs="Times New Roman"/>
          <w:lang w:val="es-MX"/>
        </w:rPr>
        <w:t xml:space="preserve">Es relevante el caso del Ministerio de Energía y Minas, cuyo presupuesto y nivel de ejecución se ha ido ampliando conforme avanzan los meses y se espera que continúe siendo alto dado que es la entidad que concentra el subsidio a las empresas que distribuyen gas propano y gasolina superior, regular y diésel. </w:t>
      </w:r>
    </w:p>
    <w:p w14:paraId="5C5C7948" w14:textId="77777777" w:rsidR="008B017C" w:rsidRPr="008B017C" w:rsidRDefault="008B017C" w:rsidP="008B017C">
      <w:pPr>
        <w:pStyle w:val="Sinespaciado"/>
        <w:jc w:val="both"/>
        <w:rPr>
          <w:rFonts w:ascii="Times New Roman" w:hAnsi="Times New Roman" w:cs="Times New Roman"/>
          <w:lang w:val="es-MX"/>
        </w:rPr>
      </w:pPr>
    </w:p>
    <w:p w14:paraId="379286C4" w14:textId="62A5A6B5" w:rsidR="00745870" w:rsidRPr="00DB556E" w:rsidRDefault="008B017C" w:rsidP="008B017C">
      <w:pPr>
        <w:pStyle w:val="Sinespaciado"/>
        <w:jc w:val="both"/>
        <w:rPr>
          <w:rFonts w:ascii="Times New Roman" w:hAnsi="Times New Roman" w:cs="Times New Roman"/>
          <w:lang w:val="es-MX"/>
        </w:rPr>
      </w:pPr>
      <w:r w:rsidRPr="008B017C">
        <w:rPr>
          <w:rFonts w:ascii="Times New Roman" w:hAnsi="Times New Roman" w:cs="Times New Roman"/>
          <w:lang w:val="es-MX"/>
        </w:rPr>
        <w:t xml:space="preserve">Por su parte, el resto de las entidades se encuentran por debajo de la ejecución total, el caso más destacado es el de Ambiente y Recursos Naturales (31.5%), Economía (29.2%) y Comunicaciones (28.4%).  </w:t>
      </w:r>
    </w:p>
    <w:p w14:paraId="0B48CC5F" w14:textId="77777777" w:rsidR="00745870" w:rsidRPr="00DB556E" w:rsidRDefault="00745870" w:rsidP="008B017C">
      <w:pPr>
        <w:pStyle w:val="Sinespaciado"/>
        <w:jc w:val="both"/>
        <w:rPr>
          <w:rFonts w:ascii="Times New Roman" w:hAnsi="Times New Roman" w:cs="Times New Roman"/>
          <w:lang w:val="es-MX"/>
        </w:rPr>
      </w:pPr>
    </w:p>
    <w:p w14:paraId="02D510B6" w14:textId="21E3F663" w:rsidR="00745870" w:rsidRPr="00DB556E" w:rsidRDefault="008B017C" w:rsidP="008B017C">
      <w:pPr>
        <w:pStyle w:val="Sinespaciado"/>
        <w:jc w:val="both"/>
        <w:rPr>
          <w:rFonts w:ascii="Times New Roman" w:hAnsi="Times New Roman" w:cs="Times New Roman"/>
          <w:lang w:val="es-MX"/>
        </w:rPr>
      </w:pPr>
      <w:r w:rsidRPr="008B017C">
        <w:rPr>
          <w:rFonts w:ascii="Times New Roman" w:hAnsi="Times New Roman" w:cs="Times New Roman"/>
          <w:lang w:val="es-MX"/>
        </w:rPr>
        <w:t>En lo que respecta al Ministerio de Comunicaciones, Infraestructura y Vivienda, su bajo grado de ejecución se debe a que su presupuesto tuvo un aumento correspondiente al Decreto 21-2022 “Ley para fortalecer el Mantenimiento y Construcción de Infraestructura Estratégica”, el cual aún no reporta ejecución. En los próximos meses, a medida que se dinamice la ejecución de los recursos, se esperaría un incremento en el rubro de la inversión real directa y el nivel de ejecución de este Ministerio.</w:t>
      </w:r>
    </w:p>
    <w:p w14:paraId="42EED26F" w14:textId="77777777" w:rsidR="00745870" w:rsidRPr="00DB556E" w:rsidRDefault="00745870" w:rsidP="00516882">
      <w:pPr>
        <w:pStyle w:val="Sinespaciado"/>
        <w:jc w:val="both"/>
        <w:rPr>
          <w:rFonts w:ascii="Times New Roman" w:hAnsi="Times New Roman" w:cs="Times New Roman"/>
          <w:lang w:val="es-MX"/>
        </w:rPr>
      </w:pPr>
    </w:p>
    <w:p w14:paraId="63F74DC4" w14:textId="77777777" w:rsidR="00380981" w:rsidRPr="00DB556E" w:rsidRDefault="00C84436" w:rsidP="00C17472">
      <w:pPr>
        <w:pStyle w:val="Prrafodelista"/>
        <w:numPr>
          <w:ilvl w:val="0"/>
          <w:numId w:val="1"/>
        </w:numPr>
        <w:ind w:left="426" w:hanging="426"/>
        <w:outlineLvl w:val="0"/>
        <w:rPr>
          <w:rFonts w:cs="Times New Roman"/>
          <w:b/>
          <w:sz w:val="24"/>
          <w:lang w:val="es-MX"/>
        </w:rPr>
      </w:pPr>
      <w:bookmarkStart w:id="925" w:name="_Toc110237453"/>
      <w:r w:rsidRPr="00DB556E">
        <w:rPr>
          <w:rFonts w:cs="Times New Roman"/>
          <w:b/>
          <w:sz w:val="24"/>
          <w:lang w:val="es-MX"/>
        </w:rPr>
        <w:lastRenderedPageBreak/>
        <w:t>Resultado Fiscal</w:t>
      </w:r>
      <w:bookmarkEnd w:id="925"/>
      <w:r w:rsidRPr="00DB556E">
        <w:rPr>
          <w:rFonts w:cs="Times New Roman"/>
          <w:b/>
          <w:sz w:val="24"/>
          <w:lang w:val="es-MX"/>
        </w:rPr>
        <w:t xml:space="preserve"> </w:t>
      </w:r>
    </w:p>
    <w:p w14:paraId="216F3BF0" w14:textId="77777777" w:rsidR="00C84436" w:rsidRPr="00DB556E" w:rsidRDefault="005F5E9E" w:rsidP="00D319A6">
      <w:pPr>
        <w:rPr>
          <w:rFonts w:eastAsiaTheme="majorEastAsia" w:cs="Times New Roman"/>
          <w:b/>
          <w:bCs/>
          <w:sz w:val="24"/>
          <w:szCs w:val="26"/>
        </w:rPr>
      </w:pPr>
      <w:bookmarkStart w:id="926" w:name="_Toc42023982"/>
      <w:bookmarkStart w:id="927" w:name="_Toc42024033"/>
      <w:bookmarkEnd w:id="926"/>
      <w:bookmarkEnd w:id="927"/>
      <w:r w:rsidRPr="00DB556E">
        <w:rPr>
          <w:rFonts w:eastAsiaTheme="majorEastAsia"/>
          <w:noProof/>
          <w:lang w:eastAsia="es-GT"/>
        </w:rPr>
        <w:drawing>
          <wp:inline distT="0" distB="0" distL="0" distR="0" wp14:anchorId="53C2D341" wp14:editId="1EF724EF">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Start w:id="928" w:name="_Toc31624513"/>
      <w:bookmarkStart w:id="929" w:name="_Toc31625365"/>
      <w:bookmarkStart w:id="930" w:name="_Toc31626820"/>
      <w:bookmarkStart w:id="931" w:name="_Toc31811271"/>
      <w:bookmarkStart w:id="932" w:name="_Toc31811725"/>
      <w:bookmarkStart w:id="933" w:name="_Toc31971888"/>
      <w:bookmarkStart w:id="934" w:name="_Toc32230910"/>
      <w:bookmarkStart w:id="935" w:name="_Toc33109798"/>
      <w:bookmarkStart w:id="936" w:name="_Toc33109840"/>
      <w:bookmarkStart w:id="937" w:name="_Toc33180561"/>
      <w:bookmarkStart w:id="938" w:name="_Toc33180655"/>
      <w:bookmarkStart w:id="939" w:name="_Toc33193552"/>
      <w:bookmarkStart w:id="940" w:name="_Toc33193591"/>
      <w:bookmarkStart w:id="941" w:name="_Toc33196788"/>
      <w:bookmarkStart w:id="942" w:name="_Toc40691764"/>
      <w:bookmarkStart w:id="943" w:name="_Toc40959164"/>
      <w:bookmarkStart w:id="944" w:name="_Toc40975998"/>
      <w:bookmarkStart w:id="945" w:name="_Toc40976067"/>
      <w:bookmarkStart w:id="946" w:name="_Toc40993323"/>
      <w:bookmarkStart w:id="947" w:name="_Toc40993705"/>
      <w:bookmarkStart w:id="948" w:name="_Toc41037581"/>
      <w:bookmarkStart w:id="949" w:name="_Toc41254141"/>
      <w:bookmarkStart w:id="950" w:name="_Toc41254173"/>
      <w:bookmarkStart w:id="951" w:name="_Toc41254193"/>
      <w:bookmarkStart w:id="952" w:name="_Toc42023983"/>
      <w:bookmarkStart w:id="953" w:name="_Toc42024034"/>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435B279A" w14:textId="77777777" w:rsidR="00182B79" w:rsidRPr="00DB556E"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954" w:name="_Toc42069123"/>
      <w:bookmarkStart w:id="955" w:name="_Toc49422069"/>
      <w:bookmarkStart w:id="956" w:name="_Toc49422095"/>
      <w:bookmarkStart w:id="957" w:name="_Toc49430674"/>
      <w:bookmarkStart w:id="958" w:name="_Toc49430700"/>
      <w:bookmarkStart w:id="959" w:name="_Toc49750477"/>
      <w:bookmarkStart w:id="960" w:name="_Toc49750727"/>
      <w:bookmarkStart w:id="961" w:name="_Toc49750755"/>
      <w:bookmarkStart w:id="962" w:name="_Toc55284841"/>
      <w:bookmarkStart w:id="963" w:name="_Toc55298859"/>
      <w:bookmarkStart w:id="964" w:name="_Toc55373842"/>
      <w:bookmarkStart w:id="965" w:name="_Toc55374018"/>
      <w:bookmarkStart w:id="966" w:name="_Toc55375155"/>
      <w:bookmarkStart w:id="967" w:name="_Toc55396563"/>
      <w:bookmarkStart w:id="968" w:name="_Toc65230560"/>
      <w:bookmarkStart w:id="969" w:name="_Toc65230798"/>
      <w:bookmarkStart w:id="970" w:name="_Toc65232082"/>
      <w:bookmarkStart w:id="971" w:name="_Toc65232327"/>
      <w:bookmarkStart w:id="972" w:name="_Toc66716186"/>
      <w:bookmarkStart w:id="973" w:name="_Toc71097230"/>
      <w:bookmarkStart w:id="974" w:name="_Toc71097261"/>
      <w:bookmarkStart w:id="975" w:name="_Toc71097336"/>
      <w:bookmarkStart w:id="976" w:name="_Toc71108076"/>
      <w:bookmarkStart w:id="977" w:name="_Toc79055270"/>
      <w:bookmarkStart w:id="978" w:name="_Toc79055301"/>
      <w:bookmarkStart w:id="979" w:name="_Toc79060192"/>
      <w:bookmarkStart w:id="980" w:name="_Toc79060479"/>
      <w:bookmarkStart w:id="981" w:name="_Toc81307836"/>
      <w:bookmarkStart w:id="982" w:name="_Toc83376497"/>
      <w:bookmarkStart w:id="983" w:name="_Toc86386736"/>
      <w:bookmarkStart w:id="984" w:name="_Toc86405422"/>
      <w:bookmarkStart w:id="985" w:name="_Toc98162452"/>
      <w:bookmarkStart w:id="986" w:name="_Toc98162484"/>
      <w:bookmarkStart w:id="987" w:name="_Toc98235010"/>
      <w:bookmarkStart w:id="988" w:name="_Toc98235205"/>
      <w:bookmarkStart w:id="989" w:name="_Toc98235290"/>
      <w:bookmarkStart w:id="990" w:name="_Toc98757160"/>
      <w:bookmarkStart w:id="991" w:name="_Toc101874715"/>
      <w:bookmarkStart w:id="992" w:name="_Toc101954171"/>
      <w:bookmarkStart w:id="993" w:name="_Toc101971988"/>
      <w:bookmarkStart w:id="994" w:name="_Toc101974080"/>
      <w:bookmarkStart w:id="995" w:name="_Toc102039765"/>
      <w:bookmarkStart w:id="996" w:name="_Toc102039803"/>
      <w:bookmarkStart w:id="997" w:name="_Toc102039843"/>
      <w:bookmarkStart w:id="998" w:name="_Toc102039874"/>
      <w:bookmarkStart w:id="999" w:name="_Toc102040932"/>
      <w:bookmarkStart w:id="1000" w:name="_Toc102477780"/>
      <w:bookmarkStart w:id="1001" w:name="_Toc102477811"/>
      <w:bookmarkStart w:id="1002" w:name="_Toc109824841"/>
      <w:bookmarkStart w:id="1003" w:name="_Toc109828797"/>
      <w:bookmarkStart w:id="1004" w:name="_Toc109828860"/>
      <w:bookmarkStart w:id="1005" w:name="_Toc109829036"/>
      <w:bookmarkStart w:id="1006" w:name="_Toc109829067"/>
      <w:bookmarkStart w:id="1007" w:name="_Toc109833911"/>
      <w:bookmarkStart w:id="1008" w:name="_Toc110237454"/>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1B0B0861" w14:textId="44409FA0" w:rsidR="00364844" w:rsidRPr="00DB556E"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009" w:name="_Toc110237455"/>
      <w:r w:rsidRPr="00DB556E">
        <w:rPr>
          <w:rFonts w:ascii="Times New Roman" w:hAnsi="Times New Roman" w:cs="Times New Roman"/>
          <w:color w:val="auto"/>
          <w:sz w:val="24"/>
        </w:rPr>
        <w:t>R</w:t>
      </w:r>
      <w:r w:rsidR="00540B30" w:rsidRPr="00DB556E">
        <w:rPr>
          <w:rFonts w:ascii="Times New Roman" w:hAnsi="Times New Roman" w:cs="Times New Roman"/>
          <w:color w:val="auto"/>
          <w:sz w:val="24"/>
        </w:rPr>
        <w:t xml:space="preserve">esultado </w:t>
      </w:r>
      <w:r w:rsidR="003C3E6F" w:rsidRPr="00DB556E">
        <w:rPr>
          <w:rFonts w:ascii="Times New Roman" w:hAnsi="Times New Roman" w:cs="Times New Roman"/>
          <w:color w:val="auto"/>
          <w:sz w:val="24"/>
        </w:rPr>
        <w:t>O</w:t>
      </w:r>
      <w:r w:rsidR="00540B30" w:rsidRPr="00DB556E">
        <w:rPr>
          <w:rFonts w:ascii="Times New Roman" w:hAnsi="Times New Roman" w:cs="Times New Roman"/>
          <w:color w:val="auto"/>
          <w:sz w:val="24"/>
        </w:rPr>
        <w:t>perativo</w:t>
      </w:r>
      <w:r w:rsidR="00EE52DF" w:rsidRPr="00DB556E">
        <w:rPr>
          <w:rFonts w:ascii="Times New Roman" w:hAnsi="Times New Roman" w:cs="Times New Roman"/>
          <w:color w:val="auto"/>
          <w:sz w:val="24"/>
        </w:rPr>
        <w:t xml:space="preserve"> </w:t>
      </w:r>
      <w:bookmarkEnd w:id="510"/>
      <w:r w:rsidR="00F42B6B">
        <w:rPr>
          <w:rFonts w:ascii="Times New Roman" w:hAnsi="Times New Roman" w:cs="Times New Roman"/>
          <w:color w:val="auto"/>
          <w:sz w:val="24"/>
        </w:rPr>
        <w:t xml:space="preserve">fue </w:t>
      </w:r>
      <w:r w:rsidR="0099162B" w:rsidRPr="00DB556E">
        <w:rPr>
          <w:rFonts w:ascii="Times New Roman" w:hAnsi="Times New Roman" w:cs="Times New Roman"/>
          <w:color w:val="auto"/>
          <w:sz w:val="24"/>
        </w:rPr>
        <w:t>positivo</w:t>
      </w:r>
      <w:r w:rsidR="008740F3">
        <w:rPr>
          <w:rFonts w:ascii="Times New Roman" w:hAnsi="Times New Roman" w:cs="Times New Roman"/>
          <w:color w:val="auto"/>
          <w:sz w:val="24"/>
        </w:rPr>
        <w:t xml:space="preserve"> en la primera mitad del</w:t>
      </w:r>
      <w:r w:rsidR="009336AB">
        <w:rPr>
          <w:rFonts w:ascii="Times New Roman" w:hAnsi="Times New Roman" w:cs="Times New Roman"/>
          <w:color w:val="auto"/>
          <w:sz w:val="24"/>
        </w:rPr>
        <w:t xml:space="preserve"> </w:t>
      </w:r>
      <w:r w:rsidR="008740F3">
        <w:rPr>
          <w:rFonts w:ascii="Times New Roman" w:hAnsi="Times New Roman" w:cs="Times New Roman"/>
          <w:color w:val="auto"/>
          <w:sz w:val="24"/>
        </w:rPr>
        <w:t>año</w:t>
      </w:r>
      <w:bookmarkEnd w:id="1009"/>
    </w:p>
    <w:p w14:paraId="60D0EA53" w14:textId="1C4D51A2" w:rsidR="00973029" w:rsidRDefault="00710043" w:rsidP="0045490A">
      <w:pPr>
        <w:pStyle w:val="Sinespaciado"/>
        <w:jc w:val="both"/>
        <w:rPr>
          <w:rFonts w:ascii="Times New Roman" w:hAnsi="Times New Roman" w:cs="Times New Roman"/>
        </w:rPr>
      </w:pPr>
      <w:r>
        <w:rPr>
          <w:rFonts w:ascii="Times New Roman" w:hAnsi="Times New Roman" w:cs="Times New Roman"/>
        </w:rPr>
        <w:t xml:space="preserve">El resultado operativo </w:t>
      </w:r>
      <w:r w:rsidR="00024BD6">
        <w:rPr>
          <w:rFonts w:ascii="Times New Roman" w:hAnsi="Times New Roman" w:cs="Times New Roman"/>
        </w:rPr>
        <w:t>al final de la prim</w:t>
      </w:r>
      <w:r w:rsidR="00881C20">
        <w:rPr>
          <w:rFonts w:ascii="Times New Roman" w:hAnsi="Times New Roman" w:cs="Times New Roman"/>
        </w:rPr>
        <w:t>era</w:t>
      </w:r>
      <w:r w:rsidR="00024BD6">
        <w:rPr>
          <w:rFonts w:ascii="Times New Roman" w:hAnsi="Times New Roman" w:cs="Times New Roman"/>
        </w:rPr>
        <w:t xml:space="preserve"> parte del año es</w:t>
      </w:r>
      <w:r w:rsidR="0099162B" w:rsidRPr="00DB556E">
        <w:rPr>
          <w:rFonts w:ascii="Times New Roman" w:hAnsi="Times New Roman" w:cs="Times New Roman"/>
        </w:rPr>
        <w:t xml:space="preserve"> positivo </w:t>
      </w:r>
      <w:r w:rsidR="007A0181" w:rsidRPr="00DB556E">
        <w:rPr>
          <w:rFonts w:ascii="Times New Roman" w:hAnsi="Times New Roman" w:cs="Times New Roman"/>
        </w:rPr>
        <w:t>en Q</w:t>
      </w:r>
      <w:r w:rsidR="004B4F1A">
        <w:rPr>
          <w:rFonts w:ascii="Times New Roman" w:hAnsi="Times New Roman" w:cs="Times New Roman"/>
        </w:rPr>
        <w:t>145.8</w:t>
      </w:r>
      <w:r w:rsidR="007A0181" w:rsidRPr="00DB556E">
        <w:rPr>
          <w:rFonts w:ascii="Times New Roman" w:hAnsi="Times New Roman" w:cs="Times New Roman"/>
        </w:rPr>
        <w:t xml:space="preserve"> millones</w:t>
      </w:r>
      <w:r w:rsidR="004B4F1A">
        <w:rPr>
          <w:rFonts w:ascii="Times New Roman" w:hAnsi="Times New Roman" w:cs="Times New Roman"/>
        </w:rPr>
        <w:t xml:space="preserve"> mientras que el año previo est</w:t>
      </w:r>
      <w:r w:rsidR="009336AB">
        <w:rPr>
          <w:rFonts w:ascii="Times New Roman" w:hAnsi="Times New Roman" w:cs="Times New Roman"/>
        </w:rPr>
        <w:t>e</w:t>
      </w:r>
      <w:r w:rsidR="004B4F1A">
        <w:rPr>
          <w:rFonts w:ascii="Times New Roman" w:hAnsi="Times New Roman" w:cs="Times New Roman"/>
        </w:rPr>
        <w:t xml:space="preserve"> era </w:t>
      </w:r>
      <w:r w:rsidR="00881C20">
        <w:rPr>
          <w:rFonts w:ascii="Times New Roman" w:hAnsi="Times New Roman" w:cs="Times New Roman"/>
        </w:rPr>
        <w:t>negativ</w:t>
      </w:r>
      <w:r w:rsidR="009336AB">
        <w:rPr>
          <w:rFonts w:ascii="Times New Roman" w:hAnsi="Times New Roman" w:cs="Times New Roman"/>
        </w:rPr>
        <w:t>o</w:t>
      </w:r>
      <w:r w:rsidR="004B4F1A">
        <w:rPr>
          <w:rFonts w:ascii="Times New Roman" w:hAnsi="Times New Roman" w:cs="Times New Roman"/>
        </w:rPr>
        <w:t xml:space="preserve"> </w:t>
      </w:r>
      <w:r w:rsidR="00881C20">
        <w:rPr>
          <w:rFonts w:ascii="Times New Roman" w:hAnsi="Times New Roman" w:cs="Times New Roman"/>
        </w:rPr>
        <w:t>por</w:t>
      </w:r>
      <w:r w:rsidR="004B4F1A">
        <w:rPr>
          <w:rFonts w:ascii="Times New Roman" w:hAnsi="Times New Roman" w:cs="Times New Roman"/>
        </w:rPr>
        <w:t xml:space="preserve"> Q410.0 millones. Por su parte, </w:t>
      </w:r>
      <w:r w:rsidR="00976100" w:rsidRPr="00DB556E">
        <w:rPr>
          <w:rFonts w:ascii="Times New Roman" w:hAnsi="Times New Roman" w:cs="Times New Roman"/>
        </w:rPr>
        <w:t xml:space="preserve">el resultado operativo primario (sin considerar el pago de intereses) es </w:t>
      </w:r>
      <w:r w:rsidR="00881C20">
        <w:rPr>
          <w:rFonts w:ascii="Times New Roman" w:hAnsi="Times New Roman" w:cs="Times New Roman"/>
        </w:rPr>
        <w:t>positivo en</w:t>
      </w:r>
      <w:r w:rsidR="00976100" w:rsidRPr="00DB556E">
        <w:rPr>
          <w:rFonts w:ascii="Times New Roman" w:hAnsi="Times New Roman" w:cs="Times New Roman"/>
        </w:rPr>
        <w:t xml:space="preserve"> Q</w:t>
      </w:r>
      <w:r w:rsidR="002D3612" w:rsidRPr="002D3612">
        <w:t xml:space="preserve"> </w:t>
      </w:r>
      <w:r w:rsidR="002D3612" w:rsidRPr="002D3612">
        <w:rPr>
          <w:rFonts w:ascii="Times New Roman" w:hAnsi="Times New Roman" w:cs="Times New Roman"/>
        </w:rPr>
        <w:t>5,953.8</w:t>
      </w:r>
      <w:r w:rsidR="002E0A4A" w:rsidRPr="00DB556E">
        <w:rPr>
          <w:rFonts w:ascii="Times New Roman" w:hAnsi="Times New Roman" w:cs="Times New Roman"/>
        </w:rPr>
        <w:t xml:space="preserve"> millones</w:t>
      </w:r>
      <w:r w:rsidR="002D3612">
        <w:rPr>
          <w:rFonts w:ascii="Times New Roman" w:hAnsi="Times New Roman" w:cs="Times New Roman"/>
        </w:rPr>
        <w:t xml:space="preserve"> </w:t>
      </w:r>
      <w:r w:rsidR="00881C20">
        <w:rPr>
          <w:rFonts w:ascii="Times New Roman" w:hAnsi="Times New Roman" w:cs="Times New Roman"/>
        </w:rPr>
        <w:t xml:space="preserve">y </w:t>
      </w:r>
      <w:r w:rsidR="002D3612">
        <w:rPr>
          <w:rFonts w:ascii="Times New Roman" w:hAnsi="Times New Roman" w:cs="Times New Roman"/>
        </w:rPr>
        <w:t>superior a los Q5</w:t>
      </w:r>
      <w:r w:rsidR="00705FBF">
        <w:rPr>
          <w:rFonts w:ascii="Times New Roman" w:hAnsi="Times New Roman" w:cs="Times New Roman"/>
        </w:rPr>
        <w:t>,094.7 millones que se observaron al mismo periodo del 2021</w:t>
      </w:r>
      <w:r w:rsidR="005A2B12" w:rsidRPr="00DB556E">
        <w:rPr>
          <w:rFonts w:ascii="Times New Roman" w:hAnsi="Times New Roman" w:cs="Times New Roman"/>
        </w:rPr>
        <w:t>.</w:t>
      </w:r>
    </w:p>
    <w:p w14:paraId="0C721065" w14:textId="77777777" w:rsidR="00973029" w:rsidRDefault="00973029" w:rsidP="0045490A">
      <w:pPr>
        <w:pStyle w:val="Sinespaciado"/>
        <w:jc w:val="both"/>
        <w:rPr>
          <w:rFonts w:ascii="Times New Roman" w:hAnsi="Times New Roman" w:cs="Times New Roman"/>
        </w:rPr>
      </w:pPr>
    </w:p>
    <w:p w14:paraId="10242320" w14:textId="493B10C5" w:rsidR="00374C59" w:rsidRPr="00DB556E" w:rsidRDefault="007024F0"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010" w:name="_Toc110237456"/>
      <w:r>
        <w:rPr>
          <w:rFonts w:ascii="Times New Roman" w:hAnsi="Times New Roman" w:cs="Times New Roman"/>
          <w:color w:val="auto"/>
          <w:sz w:val="24"/>
        </w:rPr>
        <w:t xml:space="preserve">Se reporta un déficit al </w:t>
      </w:r>
      <w:r w:rsidR="000F4B0C">
        <w:rPr>
          <w:rFonts w:ascii="Times New Roman" w:hAnsi="Times New Roman" w:cs="Times New Roman"/>
          <w:color w:val="auto"/>
          <w:sz w:val="24"/>
        </w:rPr>
        <w:t>terminar el segundo trimestre.</w:t>
      </w:r>
      <w:bookmarkEnd w:id="1010"/>
    </w:p>
    <w:p w14:paraId="0B26DAF2" w14:textId="16F370C6" w:rsidR="00823937" w:rsidRDefault="00C03F60" w:rsidP="00E13EAC">
      <w:pPr>
        <w:pStyle w:val="Sinespaciado"/>
        <w:jc w:val="both"/>
        <w:rPr>
          <w:rFonts w:ascii="Times New Roman" w:hAnsi="Times New Roman" w:cs="Times New Roman"/>
        </w:rPr>
      </w:pPr>
      <w:r w:rsidRPr="00DB556E">
        <w:rPr>
          <w:rFonts w:ascii="Times New Roman" w:hAnsi="Times New Roman" w:cs="Times New Roman"/>
        </w:rPr>
        <w:t>En materia</w:t>
      </w:r>
      <w:r w:rsidR="0087647F" w:rsidRPr="00DB556E">
        <w:rPr>
          <w:rFonts w:ascii="Times New Roman" w:hAnsi="Times New Roman" w:cs="Times New Roman"/>
        </w:rPr>
        <w:t xml:space="preserve"> </w:t>
      </w:r>
      <w:r w:rsidR="00CA0CF4" w:rsidRPr="00DB556E">
        <w:rPr>
          <w:rFonts w:ascii="Times New Roman" w:hAnsi="Times New Roman" w:cs="Times New Roman"/>
        </w:rPr>
        <w:t>global</w:t>
      </w:r>
      <w:r w:rsidR="00F55BC5">
        <w:rPr>
          <w:rFonts w:ascii="Times New Roman" w:hAnsi="Times New Roman" w:cs="Times New Roman"/>
        </w:rPr>
        <w:t>,</w:t>
      </w:r>
      <w:r w:rsidR="00CA0CF4" w:rsidRPr="00DB556E">
        <w:rPr>
          <w:rFonts w:ascii="Times New Roman" w:hAnsi="Times New Roman" w:cs="Times New Roman"/>
        </w:rPr>
        <w:t xml:space="preserve"> </w:t>
      </w:r>
      <w:r w:rsidR="00F55BC5">
        <w:rPr>
          <w:rFonts w:ascii="Times New Roman" w:hAnsi="Times New Roman" w:cs="Times New Roman"/>
        </w:rPr>
        <w:t xml:space="preserve">al tomar en consideración </w:t>
      </w:r>
      <w:r w:rsidR="00CA0CF4" w:rsidRPr="00DB556E">
        <w:rPr>
          <w:rFonts w:ascii="Times New Roman" w:hAnsi="Times New Roman" w:cs="Times New Roman"/>
        </w:rPr>
        <w:t>la adquisición en activos no financieros</w:t>
      </w:r>
      <w:r w:rsidR="00F55BC5">
        <w:rPr>
          <w:rFonts w:ascii="Times New Roman" w:hAnsi="Times New Roman" w:cs="Times New Roman"/>
        </w:rPr>
        <w:t>,</w:t>
      </w:r>
      <w:r w:rsidR="00CA0CF4" w:rsidRPr="00DB556E">
        <w:rPr>
          <w:rFonts w:ascii="Times New Roman" w:hAnsi="Times New Roman" w:cs="Times New Roman"/>
        </w:rPr>
        <w:t xml:space="preserve"> se observa que </w:t>
      </w:r>
      <w:r w:rsidR="00B007DB" w:rsidRPr="00DB556E">
        <w:rPr>
          <w:rFonts w:ascii="Times New Roman" w:hAnsi="Times New Roman" w:cs="Times New Roman"/>
        </w:rPr>
        <w:t xml:space="preserve">existe un </w:t>
      </w:r>
      <w:r w:rsidR="006B4253">
        <w:rPr>
          <w:rFonts w:ascii="Times New Roman" w:hAnsi="Times New Roman" w:cs="Times New Roman"/>
        </w:rPr>
        <w:t>endeudamiento</w:t>
      </w:r>
      <w:r w:rsidR="00B007DB" w:rsidRPr="00DB556E">
        <w:rPr>
          <w:rFonts w:ascii="Times New Roman" w:hAnsi="Times New Roman" w:cs="Times New Roman"/>
        </w:rPr>
        <w:t xml:space="preserve"> neto (</w:t>
      </w:r>
      <w:r w:rsidR="006B4253">
        <w:rPr>
          <w:rFonts w:ascii="Times New Roman" w:hAnsi="Times New Roman" w:cs="Times New Roman"/>
        </w:rPr>
        <w:t>déficit</w:t>
      </w:r>
      <w:r w:rsidR="00B007DB" w:rsidRPr="00DB556E">
        <w:rPr>
          <w:rFonts w:ascii="Times New Roman" w:hAnsi="Times New Roman" w:cs="Times New Roman"/>
        </w:rPr>
        <w:t xml:space="preserve"> fiscal) de Q</w:t>
      </w:r>
      <w:r w:rsidR="00A015DC">
        <w:rPr>
          <w:rFonts w:ascii="Times New Roman" w:hAnsi="Times New Roman" w:cs="Times New Roman"/>
        </w:rPr>
        <w:t>1,607</w:t>
      </w:r>
      <w:r w:rsidR="006B4253">
        <w:rPr>
          <w:rFonts w:ascii="Times New Roman" w:hAnsi="Times New Roman" w:cs="Times New Roman"/>
        </w:rPr>
        <w:t>.0</w:t>
      </w:r>
      <w:r w:rsidR="00B007DB" w:rsidRPr="00DB556E">
        <w:rPr>
          <w:rFonts w:ascii="Times New Roman" w:hAnsi="Times New Roman" w:cs="Times New Roman"/>
        </w:rPr>
        <w:t xml:space="preserve"> millones</w:t>
      </w:r>
      <w:r w:rsidR="006B4253">
        <w:rPr>
          <w:rFonts w:ascii="Times New Roman" w:hAnsi="Times New Roman" w:cs="Times New Roman"/>
        </w:rPr>
        <w:t xml:space="preserve"> al culminar junio y </w:t>
      </w:r>
      <w:r w:rsidR="006F0E5F" w:rsidRPr="00DB556E">
        <w:rPr>
          <w:rFonts w:ascii="Times New Roman" w:hAnsi="Times New Roman" w:cs="Times New Roman"/>
        </w:rPr>
        <w:t xml:space="preserve">un resultado primario </w:t>
      </w:r>
      <w:r w:rsidR="000706ED">
        <w:rPr>
          <w:rFonts w:ascii="Times New Roman" w:hAnsi="Times New Roman" w:cs="Times New Roman"/>
        </w:rPr>
        <w:t xml:space="preserve">positivo por </w:t>
      </w:r>
      <w:r w:rsidR="006F0E5F" w:rsidRPr="00DB556E">
        <w:rPr>
          <w:rFonts w:ascii="Times New Roman" w:hAnsi="Times New Roman" w:cs="Times New Roman"/>
        </w:rPr>
        <w:t>Q</w:t>
      </w:r>
      <w:r w:rsidR="000706ED">
        <w:rPr>
          <w:rFonts w:ascii="Times New Roman" w:hAnsi="Times New Roman" w:cs="Times New Roman"/>
        </w:rPr>
        <w:t>4,201.0</w:t>
      </w:r>
      <w:r w:rsidR="006F0E5F" w:rsidRPr="00DB556E">
        <w:rPr>
          <w:rFonts w:ascii="Times New Roman" w:hAnsi="Times New Roman" w:cs="Times New Roman"/>
        </w:rPr>
        <w:t xml:space="preserve"> millones</w:t>
      </w:r>
      <w:r w:rsidR="00451681" w:rsidRPr="00DB556E">
        <w:rPr>
          <w:rFonts w:ascii="Times New Roman" w:hAnsi="Times New Roman" w:cs="Times New Roman"/>
        </w:rPr>
        <w:t>.</w:t>
      </w:r>
      <w:r w:rsidR="00E13EAC">
        <w:rPr>
          <w:rFonts w:ascii="Times New Roman" w:hAnsi="Times New Roman" w:cs="Times New Roman"/>
        </w:rPr>
        <w:t xml:space="preserve"> </w:t>
      </w:r>
    </w:p>
    <w:p w14:paraId="579DEC04" w14:textId="77777777" w:rsidR="00823937" w:rsidRDefault="00823937" w:rsidP="00E13EAC">
      <w:pPr>
        <w:pStyle w:val="Sinespaciado"/>
        <w:jc w:val="both"/>
        <w:rPr>
          <w:rFonts w:ascii="Times New Roman" w:hAnsi="Times New Roman" w:cs="Times New Roman"/>
        </w:rPr>
      </w:pPr>
    </w:p>
    <w:p w14:paraId="16990FF1" w14:textId="23F7829B" w:rsidR="000F4B0C" w:rsidRPr="00C674B2" w:rsidRDefault="00823937" w:rsidP="00E13EAC">
      <w:pPr>
        <w:pStyle w:val="Sinespaciado"/>
        <w:jc w:val="both"/>
        <w:rPr>
          <w:rFonts w:ascii="Times New Roman" w:hAnsi="Times New Roman" w:cs="Times New Roman"/>
        </w:rPr>
      </w:pPr>
      <w:r w:rsidRPr="00C674B2">
        <w:rPr>
          <w:rFonts w:ascii="Times New Roman" w:hAnsi="Times New Roman" w:cs="Times New Roman"/>
        </w:rPr>
        <w:t>E</w:t>
      </w:r>
      <w:r w:rsidR="003E6A0B" w:rsidRPr="00C674B2">
        <w:rPr>
          <w:rFonts w:ascii="Times New Roman" w:hAnsi="Times New Roman" w:cs="Times New Roman"/>
        </w:rPr>
        <w:t>s oportuno resaltar que la situación financi</w:t>
      </w:r>
      <w:r w:rsidRPr="00C674B2">
        <w:rPr>
          <w:rFonts w:ascii="Times New Roman" w:hAnsi="Times New Roman" w:cs="Times New Roman"/>
        </w:rPr>
        <w:t>e</w:t>
      </w:r>
      <w:r w:rsidR="003E6A0B" w:rsidRPr="00C674B2">
        <w:rPr>
          <w:rFonts w:ascii="Times New Roman" w:hAnsi="Times New Roman" w:cs="Times New Roman"/>
        </w:rPr>
        <w:t xml:space="preserve">ra al finalizar el primer semestre del </w:t>
      </w:r>
      <w:r w:rsidR="000F4B0C" w:rsidRPr="00C674B2">
        <w:rPr>
          <w:rFonts w:ascii="Times New Roman" w:hAnsi="Times New Roman" w:cs="Times New Roman"/>
        </w:rPr>
        <w:t xml:space="preserve">2022 es </w:t>
      </w:r>
      <w:r w:rsidR="00C674B2" w:rsidRPr="00C674B2">
        <w:rPr>
          <w:rFonts w:ascii="Times New Roman" w:hAnsi="Times New Roman" w:cs="Times New Roman"/>
        </w:rPr>
        <w:t>explicada</w:t>
      </w:r>
      <w:r w:rsidR="000F4B0C" w:rsidRPr="00C674B2">
        <w:rPr>
          <w:rFonts w:ascii="Times New Roman" w:hAnsi="Times New Roman" w:cs="Times New Roman"/>
        </w:rPr>
        <w:t xml:space="preserve"> por </w:t>
      </w:r>
      <w:r w:rsidR="00DC17A4" w:rsidRPr="00C674B2">
        <w:rPr>
          <w:rFonts w:ascii="Times New Roman" w:hAnsi="Times New Roman" w:cs="Times New Roman"/>
        </w:rPr>
        <w:t>un mejor</w:t>
      </w:r>
      <w:r w:rsidR="000F4B0C" w:rsidRPr="00C674B2">
        <w:rPr>
          <w:rFonts w:ascii="Times New Roman" w:hAnsi="Times New Roman" w:cs="Times New Roman"/>
        </w:rPr>
        <w:t xml:space="preserve"> dinamismo en el gasto</w:t>
      </w:r>
      <w:r w:rsidRPr="00C674B2">
        <w:rPr>
          <w:rFonts w:ascii="Times New Roman" w:hAnsi="Times New Roman" w:cs="Times New Roman"/>
        </w:rPr>
        <w:t>,</w:t>
      </w:r>
      <w:r w:rsidRPr="00823937">
        <w:rPr>
          <w:rFonts w:ascii="Times New Roman" w:hAnsi="Times New Roman" w:cs="Times New Roman"/>
        </w:rPr>
        <w:t xml:space="preserve"> </w:t>
      </w:r>
      <w:r w:rsidRPr="00DB556E">
        <w:rPr>
          <w:rFonts w:ascii="Times New Roman" w:hAnsi="Times New Roman" w:cs="Times New Roman"/>
        </w:rPr>
        <w:t xml:space="preserve">un aumento en la inversión de infraestructura por medio de </w:t>
      </w:r>
      <w:r w:rsidR="00725A9C">
        <w:rPr>
          <w:rFonts w:ascii="Times New Roman" w:hAnsi="Times New Roman" w:cs="Times New Roman"/>
        </w:rPr>
        <w:t xml:space="preserve">la </w:t>
      </w:r>
      <w:r w:rsidRPr="00DB556E">
        <w:rPr>
          <w:rFonts w:ascii="Times New Roman" w:hAnsi="Times New Roman" w:cs="Times New Roman"/>
        </w:rPr>
        <w:t xml:space="preserve">cuenta de edificios y estructuras (incluye infraestructura vial) </w:t>
      </w:r>
      <w:r w:rsidR="000F4B0C" w:rsidRPr="00C674B2">
        <w:rPr>
          <w:rFonts w:ascii="Times New Roman" w:hAnsi="Times New Roman" w:cs="Times New Roman"/>
        </w:rPr>
        <w:t>y por el buen desempeño de la recaudación tributaria que</w:t>
      </w:r>
      <w:r w:rsidR="00E13EAC" w:rsidRPr="00C674B2">
        <w:rPr>
          <w:rFonts w:ascii="Times New Roman" w:hAnsi="Times New Roman" w:cs="Times New Roman"/>
        </w:rPr>
        <w:t xml:space="preserve"> se viene observando desde 2021.</w:t>
      </w:r>
    </w:p>
    <w:p w14:paraId="15B8620D" w14:textId="77777777" w:rsidR="00745870" w:rsidRDefault="00745870" w:rsidP="00C674B2">
      <w:pPr>
        <w:pStyle w:val="Sinespaciado"/>
        <w:jc w:val="both"/>
        <w:rPr>
          <w:rFonts w:ascii="Times New Roman" w:hAnsi="Times New Roman" w:cs="Times New Roman"/>
        </w:rPr>
      </w:pPr>
    </w:p>
    <w:p w14:paraId="63D33E6E" w14:textId="0FBC2F22" w:rsidR="00296E13" w:rsidRPr="00C674B2" w:rsidRDefault="00296E13" w:rsidP="00C674B2">
      <w:pPr>
        <w:pStyle w:val="Sinespaciado"/>
        <w:jc w:val="both"/>
        <w:rPr>
          <w:rFonts w:ascii="Times New Roman" w:hAnsi="Times New Roman" w:cs="Times New Roman"/>
        </w:rPr>
      </w:pPr>
      <w:r w:rsidRPr="002D1DB8">
        <w:rPr>
          <w:rFonts w:ascii="Times New Roman" w:hAnsi="Times New Roman" w:cs="Times New Roman"/>
        </w:rPr>
        <w:t xml:space="preserve">Por </w:t>
      </w:r>
      <w:r w:rsidR="0059455A" w:rsidRPr="002D1DB8">
        <w:rPr>
          <w:rFonts w:ascii="Times New Roman" w:hAnsi="Times New Roman" w:cs="Times New Roman"/>
        </w:rPr>
        <w:t>último</w:t>
      </w:r>
      <w:r w:rsidRPr="002D1DB8">
        <w:rPr>
          <w:rFonts w:ascii="Times New Roman" w:hAnsi="Times New Roman" w:cs="Times New Roman"/>
        </w:rPr>
        <w:t xml:space="preserve">, </w:t>
      </w:r>
      <w:r w:rsidR="0059455A" w:rsidRPr="002D1DB8">
        <w:rPr>
          <w:rFonts w:ascii="Times New Roman" w:hAnsi="Times New Roman" w:cs="Times New Roman"/>
        </w:rPr>
        <w:t>para el segundo trimestre existe una discrepancia estadística de Q4,934.2 millones</w:t>
      </w:r>
      <w:r w:rsidR="002D1DB8" w:rsidRPr="002D1DB8">
        <w:rPr>
          <w:rFonts w:ascii="Times New Roman" w:hAnsi="Times New Roman" w:cs="Times New Roman"/>
        </w:rPr>
        <w:t xml:space="preserve">, cuya explicación se desarrolló en el apartado 4.2 de este documento. </w:t>
      </w:r>
    </w:p>
    <w:p w14:paraId="5D964EE2" w14:textId="77777777" w:rsidR="00745870" w:rsidRPr="00DB556E" w:rsidRDefault="00745870">
      <w:pPr>
        <w:spacing w:after="200" w:line="276" w:lineRule="auto"/>
        <w:jc w:val="left"/>
        <w:rPr>
          <w:rFonts w:cs="Times New Roman"/>
          <w:b/>
          <w:szCs w:val="22"/>
          <w:lang w:val="es-MX"/>
        </w:rPr>
      </w:pPr>
    </w:p>
    <w:p w14:paraId="6A5D1CD9" w14:textId="77777777" w:rsidR="00745870" w:rsidRPr="00DB556E" w:rsidRDefault="00745870">
      <w:pPr>
        <w:spacing w:after="200" w:line="276" w:lineRule="auto"/>
        <w:jc w:val="left"/>
        <w:rPr>
          <w:rFonts w:cs="Times New Roman"/>
          <w:b/>
          <w:szCs w:val="22"/>
          <w:lang w:val="es-MX"/>
        </w:rPr>
      </w:pPr>
    </w:p>
    <w:p w14:paraId="1128AE7D" w14:textId="77777777" w:rsidR="00745870" w:rsidRPr="00DB556E" w:rsidRDefault="00745870">
      <w:pPr>
        <w:spacing w:after="200" w:line="276" w:lineRule="auto"/>
        <w:jc w:val="left"/>
        <w:rPr>
          <w:rFonts w:cs="Times New Roman"/>
          <w:b/>
          <w:szCs w:val="22"/>
          <w:lang w:val="es-MX"/>
        </w:rPr>
      </w:pPr>
    </w:p>
    <w:p w14:paraId="60BABC56" w14:textId="77777777" w:rsidR="00745870" w:rsidRPr="00DB556E" w:rsidRDefault="00745870">
      <w:pPr>
        <w:spacing w:after="200" w:line="276" w:lineRule="auto"/>
        <w:jc w:val="left"/>
        <w:rPr>
          <w:rFonts w:cs="Times New Roman"/>
          <w:b/>
          <w:szCs w:val="22"/>
          <w:lang w:val="es-MX"/>
        </w:rPr>
      </w:pPr>
    </w:p>
    <w:p w14:paraId="76D821A8" w14:textId="77777777" w:rsidR="00745870" w:rsidRPr="00DB556E" w:rsidRDefault="00745870">
      <w:pPr>
        <w:spacing w:after="200" w:line="276" w:lineRule="auto"/>
        <w:jc w:val="left"/>
        <w:rPr>
          <w:rFonts w:cs="Times New Roman"/>
          <w:b/>
          <w:szCs w:val="22"/>
          <w:lang w:val="es-MX"/>
        </w:rPr>
      </w:pPr>
    </w:p>
    <w:p w14:paraId="5C9011E1" w14:textId="77777777" w:rsidR="00745870" w:rsidRPr="00DB556E" w:rsidRDefault="00745870">
      <w:pPr>
        <w:spacing w:after="200" w:line="276" w:lineRule="auto"/>
        <w:jc w:val="left"/>
        <w:rPr>
          <w:rFonts w:cs="Times New Roman"/>
          <w:b/>
          <w:szCs w:val="22"/>
          <w:lang w:val="es-MX"/>
        </w:rPr>
      </w:pPr>
    </w:p>
    <w:p w14:paraId="1E0ADBA7" w14:textId="77777777" w:rsidR="00745870" w:rsidRPr="00DB556E" w:rsidRDefault="00745870">
      <w:pPr>
        <w:spacing w:after="200" w:line="276" w:lineRule="auto"/>
        <w:jc w:val="left"/>
        <w:rPr>
          <w:rFonts w:cs="Times New Roman"/>
          <w:b/>
          <w:szCs w:val="22"/>
          <w:lang w:val="es-MX"/>
        </w:rPr>
      </w:pPr>
    </w:p>
    <w:p w14:paraId="21995343" w14:textId="77777777" w:rsidR="00745870" w:rsidRPr="00DB556E" w:rsidRDefault="00745870">
      <w:pPr>
        <w:spacing w:after="200" w:line="276" w:lineRule="auto"/>
        <w:jc w:val="left"/>
        <w:rPr>
          <w:rFonts w:cs="Times New Roman"/>
          <w:b/>
          <w:szCs w:val="22"/>
          <w:lang w:val="es-MX"/>
        </w:rPr>
      </w:pPr>
    </w:p>
    <w:p w14:paraId="121BF0A8" w14:textId="77777777" w:rsidR="00745870" w:rsidRPr="00DB556E" w:rsidRDefault="00745870">
      <w:pPr>
        <w:spacing w:after="200" w:line="276" w:lineRule="auto"/>
        <w:jc w:val="left"/>
        <w:rPr>
          <w:rFonts w:cs="Times New Roman"/>
          <w:b/>
          <w:szCs w:val="22"/>
          <w:lang w:val="es-MX"/>
        </w:rPr>
      </w:pPr>
    </w:p>
    <w:p w14:paraId="54EC232A" w14:textId="695A4322" w:rsidR="00745870" w:rsidRDefault="00745870">
      <w:pPr>
        <w:spacing w:after="200" w:line="276" w:lineRule="auto"/>
        <w:jc w:val="left"/>
        <w:rPr>
          <w:rFonts w:cs="Times New Roman"/>
          <w:b/>
          <w:szCs w:val="22"/>
          <w:lang w:val="es-MX"/>
        </w:rPr>
      </w:pPr>
    </w:p>
    <w:p w14:paraId="46CE4C7D" w14:textId="77777777" w:rsidR="00C674B2" w:rsidRPr="00DB556E" w:rsidRDefault="00C674B2">
      <w:pPr>
        <w:spacing w:after="200" w:line="276" w:lineRule="auto"/>
        <w:jc w:val="left"/>
        <w:rPr>
          <w:rFonts w:cs="Times New Roman"/>
          <w:b/>
          <w:szCs w:val="22"/>
          <w:lang w:val="es-MX"/>
        </w:rPr>
      </w:pPr>
    </w:p>
    <w:p w14:paraId="020DDCB3" w14:textId="77777777" w:rsidR="00264A75" w:rsidRPr="00DB556E" w:rsidRDefault="00264A75" w:rsidP="00997543">
      <w:pPr>
        <w:jc w:val="center"/>
        <w:rPr>
          <w:rFonts w:cs="Times New Roman"/>
          <w:b/>
          <w:szCs w:val="22"/>
          <w:lang w:val="es-MX"/>
        </w:rPr>
      </w:pPr>
      <w:r w:rsidRPr="00DB556E">
        <w:rPr>
          <w:rFonts w:cs="Times New Roman"/>
          <w:b/>
          <w:szCs w:val="22"/>
          <w:lang w:val="es-MX"/>
        </w:rPr>
        <w:t xml:space="preserve">Estado de </w:t>
      </w:r>
      <w:r w:rsidR="00697544" w:rsidRPr="00DB556E">
        <w:rPr>
          <w:rFonts w:cs="Times New Roman"/>
          <w:b/>
          <w:szCs w:val="22"/>
          <w:lang w:val="es-MX"/>
        </w:rPr>
        <w:t>O</w:t>
      </w:r>
      <w:r w:rsidRPr="00DB556E">
        <w:rPr>
          <w:rFonts w:cs="Times New Roman"/>
          <w:b/>
          <w:szCs w:val="22"/>
          <w:lang w:val="es-MX"/>
        </w:rPr>
        <w:t>peraciones</w:t>
      </w:r>
      <w:r w:rsidR="007105EE" w:rsidRPr="00DB556E">
        <w:rPr>
          <w:rFonts w:cs="Times New Roman"/>
          <w:b/>
          <w:szCs w:val="22"/>
          <w:lang w:val="es-MX"/>
        </w:rPr>
        <w:t xml:space="preserve"> </w:t>
      </w:r>
      <w:r w:rsidRPr="00DB556E">
        <w:rPr>
          <w:rFonts w:cs="Times New Roman"/>
          <w:b/>
          <w:szCs w:val="22"/>
          <w:lang w:val="es-MX"/>
        </w:rPr>
        <w:t>del Gobierno Central Presupuestario</w:t>
      </w:r>
    </w:p>
    <w:p w14:paraId="68D87BB8" w14:textId="4834ED96" w:rsidR="007105EE" w:rsidRPr="00DB556E" w:rsidRDefault="007105EE" w:rsidP="00997543">
      <w:pPr>
        <w:jc w:val="center"/>
        <w:rPr>
          <w:rFonts w:cs="Times New Roman"/>
          <w:b/>
          <w:szCs w:val="22"/>
          <w:lang w:val="es-MX"/>
        </w:rPr>
      </w:pPr>
      <w:r w:rsidRPr="00DB556E">
        <w:rPr>
          <w:rFonts w:cs="Times New Roman"/>
          <w:b/>
          <w:szCs w:val="22"/>
          <w:lang w:val="es-MX"/>
        </w:rPr>
        <w:t xml:space="preserve">Cifras acumuladas a </w:t>
      </w:r>
      <w:r w:rsidR="00944641">
        <w:rPr>
          <w:rFonts w:cs="Times New Roman"/>
          <w:b/>
          <w:szCs w:val="22"/>
          <w:lang w:val="es-MX"/>
        </w:rPr>
        <w:t>junio</w:t>
      </w:r>
      <w:r w:rsidR="0040363B" w:rsidRPr="00DB556E">
        <w:rPr>
          <w:rFonts w:cs="Times New Roman"/>
          <w:b/>
          <w:szCs w:val="22"/>
          <w:lang w:val="es-MX"/>
        </w:rPr>
        <w:t xml:space="preserve"> de cada año</w:t>
      </w:r>
      <w:r w:rsidRPr="00DB556E">
        <w:rPr>
          <w:rFonts w:cs="Times New Roman"/>
          <w:b/>
          <w:szCs w:val="22"/>
          <w:lang w:val="es-MX"/>
        </w:rPr>
        <w:t>*</w:t>
      </w:r>
    </w:p>
    <w:p w14:paraId="3793E3FA" w14:textId="402859EF" w:rsidR="00A366A0" w:rsidRPr="00DB556E" w:rsidRDefault="00697544" w:rsidP="00944641">
      <w:pPr>
        <w:spacing w:after="240"/>
        <w:jc w:val="center"/>
        <w:rPr>
          <w:rFonts w:cs="Times New Roman"/>
          <w:sz w:val="16"/>
          <w:szCs w:val="22"/>
          <w:lang w:val="es-MX"/>
        </w:rPr>
      </w:pPr>
      <w:r w:rsidRPr="00DB556E">
        <w:rPr>
          <w:rFonts w:cs="Times New Roman"/>
          <w:bCs/>
          <w:szCs w:val="22"/>
          <w:lang w:val="es-MX"/>
        </w:rPr>
        <w:t>En millones de Quetzales</w:t>
      </w:r>
      <w:r w:rsidR="00414C97" w:rsidRPr="00DB556E">
        <w:rPr>
          <w:rFonts w:cs="Times New Roman"/>
          <w:bCs/>
          <w:szCs w:val="22"/>
          <w:lang w:val="es-MX"/>
        </w:rPr>
        <w:t xml:space="preserve"> y</w:t>
      </w:r>
      <w:r w:rsidR="0090006B" w:rsidRPr="00DB556E">
        <w:rPr>
          <w:rFonts w:cs="Times New Roman"/>
          <w:bCs/>
          <w:szCs w:val="22"/>
          <w:lang w:val="es-MX"/>
        </w:rPr>
        <w:t xml:space="preserve"> </w:t>
      </w:r>
      <w:r w:rsidR="00414C97" w:rsidRPr="00DB556E">
        <w:rPr>
          <w:rFonts w:cs="Times New Roman"/>
          <w:bCs/>
          <w:szCs w:val="22"/>
          <w:lang w:val="es-MX"/>
        </w:rPr>
        <w:t>Porcentajes</w:t>
      </w:r>
    </w:p>
    <w:tbl>
      <w:tblPr>
        <w:tblW w:w="6688" w:type="dxa"/>
        <w:jc w:val="center"/>
        <w:tblCellMar>
          <w:left w:w="70" w:type="dxa"/>
          <w:right w:w="70" w:type="dxa"/>
        </w:tblCellMar>
        <w:tblLook w:val="04A0" w:firstRow="1" w:lastRow="0" w:firstColumn="1" w:lastColumn="0" w:noHBand="0" w:noVBand="1"/>
      </w:tblPr>
      <w:tblGrid>
        <w:gridCol w:w="3164"/>
        <w:gridCol w:w="861"/>
        <w:gridCol w:w="861"/>
        <w:gridCol w:w="861"/>
        <w:gridCol w:w="941"/>
      </w:tblGrid>
      <w:tr w:rsidR="00AE317C" w:rsidRPr="004D429B" w14:paraId="4E22BD21" w14:textId="77777777" w:rsidTr="008D3ED7">
        <w:trPr>
          <w:trHeight w:val="264"/>
          <w:jc w:val="center"/>
        </w:trPr>
        <w:tc>
          <w:tcPr>
            <w:tcW w:w="3164"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8300B4C" w14:textId="77777777" w:rsidR="004D429B" w:rsidRPr="004D429B" w:rsidRDefault="004D429B" w:rsidP="004D429B">
            <w:pPr>
              <w:jc w:val="center"/>
              <w:rPr>
                <w:rFonts w:eastAsia="Times New Roman" w:cs="Times New Roman"/>
                <w:b/>
                <w:bCs/>
                <w:color w:val="FFFFFF"/>
                <w:sz w:val="18"/>
                <w:szCs w:val="18"/>
                <w:lang w:eastAsia="es-GT"/>
              </w:rPr>
            </w:pPr>
            <w:r w:rsidRPr="004D429B">
              <w:rPr>
                <w:rFonts w:eastAsia="Times New Roman" w:cs="Times New Roman"/>
                <w:b/>
                <w:bCs/>
                <w:color w:val="FFFFFF"/>
                <w:sz w:val="18"/>
                <w:szCs w:val="18"/>
                <w:lang w:eastAsia="es-GT"/>
              </w:rPr>
              <w:t>Descripción</w:t>
            </w:r>
          </w:p>
        </w:tc>
        <w:tc>
          <w:tcPr>
            <w:tcW w:w="861"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462E5254" w14:textId="77777777" w:rsidR="004D429B" w:rsidRPr="004D429B" w:rsidRDefault="004D429B" w:rsidP="004D429B">
            <w:pPr>
              <w:jc w:val="center"/>
              <w:rPr>
                <w:rFonts w:eastAsia="Times New Roman" w:cs="Times New Roman"/>
                <w:color w:val="FFFFFF"/>
                <w:sz w:val="18"/>
                <w:szCs w:val="18"/>
                <w:lang w:eastAsia="es-GT"/>
              </w:rPr>
            </w:pPr>
            <w:r w:rsidRPr="004D429B">
              <w:rPr>
                <w:rFonts w:eastAsia="Times New Roman" w:cs="Times New Roman"/>
                <w:color w:val="FFFFFF"/>
                <w:sz w:val="18"/>
                <w:szCs w:val="18"/>
                <w:lang w:eastAsia="es-GT"/>
              </w:rPr>
              <w:t>2021</w:t>
            </w:r>
          </w:p>
        </w:tc>
        <w:tc>
          <w:tcPr>
            <w:tcW w:w="861"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7A1933AF" w14:textId="77777777" w:rsidR="004D429B" w:rsidRPr="004D429B" w:rsidRDefault="004D429B" w:rsidP="004D429B">
            <w:pPr>
              <w:jc w:val="center"/>
              <w:rPr>
                <w:rFonts w:eastAsia="Times New Roman" w:cs="Times New Roman"/>
                <w:b/>
                <w:bCs/>
                <w:color w:val="FFFFFF"/>
                <w:sz w:val="18"/>
                <w:szCs w:val="18"/>
                <w:lang w:eastAsia="es-GT"/>
              </w:rPr>
            </w:pPr>
            <w:r w:rsidRPr="004D429B">
              <w:rPr>
                <w:rFonts w:eastAsia="Times New Roman" w:cs="Times New Roman"/>
                <w:b/>
                <w:bCs/>
                <w:color w:val="FFFFFF"/>
                <w:sz w:val="18"/>
                <w:szCs w:val="18"/>
                <w:lang w:eastAsia="es-GT"/>
              </w:rPr>
              <w:t>2022*</w:t>
            </w:r>
          </w:p>
        </w:tc>
        <w:tc>
          <w:tcPr>
            <w:tcW w:w="1802" w:type="dxa"/>
            <w:gridSpan w:val="2"/>
            <w:tcBorders>
              <w:top w:val="single" w:sz="8" w:space="0" w:color="auto"/>
              <w:left w:val="nil"/>
              <w:bottom w:val="single" w:sz="8" w:space="0" w:color="auto"/>
              <w:right w:val="single" w:sz="8" w:space="0" w:color="000000"/>
            </w:tcBorders>
            <w:shd w:val="clear" w:color="000000" w:fill="44546A"/>
            <w:vAlign w:val="center"/>
            <w:hideMark/>
          </w:tcPr>
          <w:p w14:paraId="33E0B23E" w14:textId="77777777" w:rsidR="004D429B" w:rsidRPr="004D429B" w:rsidRDefault="004D429B" w:rsidP="004D429B">
            <w:pPr>
              <w:jc w:val="center"/>
              <w:rPr>
                <w:rFonts w:eastAsia="Times New Roman" w:cs="Times New Roman"/>
                <w:b/>
                <w:bCs/>
                <w:color w:val="FFFFFF"/>
                <w:sz w:val="18"/>
                <w:szCs w:val="18"/>
                <w:lang w:eastAsia="es-GT"/>
              </w:rPr>
            </w:pPr>
            <w:r w:rsidRPr="004D429B">
              <w:rPr>
                <w:rFonts w:eastAsia="Times New Roman" w:cs="Times New Roman"/>
                <w:b/>
                <w:bCs/>
                <w:color w:val="FFFFFF"/>
                <w:sz w:val="18"/>
                <w:szCs w:val="18"/>
                <w:lang w:eastAsia="es-GT"/>
              </w:rPr>
              <w:t>Variación Interanual</w:t>
            </w:r>
          </w:p>
        </w:tc>
      </w:tr>
      <w:tr w:rsidR="004D429B" w:rsidRPr="004D429B" w14:paraId="52911BCD" w14:textId="77777777" w:rsidTr="008D3ED7">
        <w:trPr>
          <w:trHeight w:val="264"/>
          <w:jc w:val="center"/>
        </w:trPr>
        <w:tc>
          <w:tcPr>
            <w:tcW w:w="3164" w:type="dxa"/>
            <w:vMerge/>
            <w:tcBorders>
              <w:top w:val="single" w:sz="8" w:space="0" w:color="auto"/>
              <w:left w:val="single" w:sz="8" w:space="0" w:color="auto"/>
              <w:bottom w:val="single" w:sz="8" w:space="0" w:color="000000"/>
              <w:right w:val="nil"/>
            </w:tcBorders>
            <w:vAlign w:val="center"/>
            <w:hideMark/>
          </w:tcPr>
          <w:p w14:paraId="25BE7534" w14:textId="77777777" w:rsidR="004D429B" w:rsidRPr="004D429B" w:rsidRDefault="004D429B" w:rsidP="004D429B">
            <w:pPr>
              <w:jc w:val="left"/>
              <w:rPr>
                <w:rFonts w:eastAsia="Times New Roman" w:cs="Times New Roman"/>
                <w:b/>
                <w:bCs/>
                <w:color w:val="FFFFFF"/>
                <w:sz w:val="18"/>
                <w:szCs w:val="18"/>
                <w:lang w:eastAsia="es-GT"/>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16A31A0B" w14:textId="77777777" w:rsidR="004D429B" w:rsidRPr="004D429B" w:rsidRDefault="004D429B" w:rsidP="004D429B">
            <w:pPr>
              <w:jc w:val="left"/>
              <w:rPr>
                <w:rFonts w:eastAsia="Times New Roman" w:cs="Times New Roman"/>
                <w:color w:val="FFFFFF"/>
                <w:sz w:val="18"/>
                <w:szCs w:val="18"/>
                <w:lang w:eastAsia="es-GT"/>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0A2ADCC9" w14:textId="77777777" w:rsidR="004D429B" w:rsidRPr="004D429B" w:rsidRDefault="004D429B" w:rsidP="004D429B">
            <w:pPr>
              <w:jc w:val="left"/>
              <w:rPr>
                <w:rFonts w:eastAsia="Times New Roman" w:cs="Times New Roman"/>
                <w:b/>
                <w:bCs/>
                <w:color w:val="FFFFFF"/>
                <w:sz w:val="18"/>
                <w:szCs w:val="18"/>
                <w:lang w:eastAsia="es-GT"/>
              </w:rPr>
            </w:pPr>
          </w:p>
        </w:tc>
        <w:tc>
          <w:tcPr>
            <w:tcW w:w="861" w:type="dxa"/>
            <w:tcBorders>
              <w:top w:val="nil"/>
              <w:left w:val="nil"/>
              <w:bottom w:val="single" w:sz="8" w:space="0" w:color="auto"/>
              <w:right w:val="single" w:sz="8" w:space="0" w:color="auto"/>
            </w:tcBorders>
            <w:shd w:val="clear" w:color="auto" w:fill="808080" w:themeFill="background1" w:themeFillShade="80"/>
            <w:vAlign w:val="center"/>
            <w:hideMark/>
          </w:tcPr>
          <w:p w14:paraId="2964B4C2" w14:textId="77777777" w:rsidR="004D429B" w:rsidRPr="004D429B" w:rsidRDefault="004D429B" w:rsidP="004D429B">
            <w:pPr>
              <w:jc w:val="center"/>
              <w:rPr>
                <w:rFonts w:eastAsia="Times New Roman" w:cs="Times New Roman"/>
                <w:b/>
                <w:bCs/>
                <w:color w:val="FFFFFF"/>
                <w:sz w:val="18"/>
                <w:szCs w:val="18"/>
                <w:lang w:eastAsia="es-GT"/>
              </w:rPr>
            </w:pPr>
            <w:r w:rsidRPr="004D429B">
              <w:rPr>
                <w:rFonts w:eastAsia="Times New Roman" w:cs="Times New Roman"/>
                <w:b/>
                <w:bCs/>
                <w:color w:val="FFFFFF"/>
                <w:sz w:val="18"/>
                <w:szCs w:val="18"/>
                <w:lang w:eastAsia="es-GT"/>
              </w:rPr>
              <w:t>Absoluta</w:t>
            </w:r>
          </w:p>
        </w:tc>
        <w:tc>
          <w:tcPr>
            <w:tcW w:w="941" w:type="dxa"/>
            <w:tcBorders>
              <w:top w:val="nil"/>
              <w:left w:val="nil"/>
              <w:bottom w:val="single" w:sz="8" w:space="0" w:color="auto"/>
              <w:right w:val="single" w:sz="8" w:space="0" w:color="auto"/>
            </w:tcBorders>
            <w:shd w:val="clear" w:color="auto" w:fill="808080" w:themeFill="background1" w:themeFillShade="80"/>
            <w:vAlign w:val="center"/>
            <w:hideMark/>
          </w:tcPr>
          <w:p w14:paraId="177730A0" w14:textId="77777777" w:rsidR="004D429B" w:rsidRPr="004D429B" w:rsidRDefault="004D429B" w:rsidP="004D429B">
            <w:pPr>
              <w:jc w:val="center"/>
              <w:rPr>
                <w:rFonts w:eastAsia="Times New Roman" w:cs="Times New Roman"/>
                <w:b/>
                <w:bCs/>
                <w:color w:val="FFFFFF"/>
                <w:sz w:val="18"/>
                <w:szCs w:val="18"/>
                <w:lang w:eastAsia="es-GT"/>
              </w:rPr>
            </w:pPr>
            <w:r w:rsidRPr="004D429B">
              <w:rPr>
                <w:rFonts w:eastAsia="Times New Roman" w:cs="Times New Roman"/>
                <w:b/>
                <w:bCs/>
                <w:color w:val="FFFFFF"/>
                <w:sz w:val="18"/>
                <w:szCs w:val="18"/>
                <w:lang w:eastAsia="es-GT"/>
              </w:rPr>
              <w:t>Relativa</w:t>
            </w:r>
          </w:p>
        </w:tc>
      </w:tr>
      <w:tr w:rsidR="008D3ED7" w:rsidRPr="004D429B" w14:paraId="331C0894"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3E471B9" w14:textId="77777777" w:rsidR="008D3ED7" w:rsidRPr="004D429B" w:rsidRDefault="008D3ED7" w:rsidP="008D3ED7">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INGRESO</w:t>
            </w:r>
          </w:p>
        </w:tc>
        <w:tc>
          <w:tcPr>
            <w:tcW w:w="861" w:type="dxa"/>
            <w:tcBorders>
              <w:top w:val="nil"/>
              <w:left w:val="nil"/>
              <w:bottom w:val="nil"/>
              <w:right w:val="nil"/>
            </w:tcBorders>
            <w:shd w:val="clear" w:color="auto" w:fill="auto"/>
            <w:noWrap/>
            <w:vAlign w:val="center"/>
            <w:hideMark/>
          </w:tcPr>
          <w:p w14:paraId="0DEB8F6A" w14:textId="27520539"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39,000.3</w:t>
            </w:r>
          </w:p>
        </w:tc>
        <w:tc>
          <w:tcPr>
            <w:tcW w:w="861" w:type="dxa"/>
            <w:tcBorders>
              <w:top w:val="nil"/>
              <w:left w:val="nil"/>
              <w:bottom w:val="nil"/>
              <w:right w:val="nil"/>
            </w:tcBorders>
            <w:shd w:val="clear" w:color="auto" w:fill="auto"/>
            <w:noWrap/>
            <w:vAlign w:val="center"/>
            <w:hideMark/>
          </w:tcPr>
          <w:p w14:paraId="20E99ABE" w14:textId="46887106"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45,341.0</w:t>
            </w:r>
          </w:p>
        </w:tc>
        <w:tc>
          <w:tcPr>
            <w:tcW w:w="861" w:type="dxa"/>
            <w:tcBorders>
              <w:top w:val="nil"/>
              <w:left w:val="dotDash" w:sz="4" w:space="0" w:color="auto"/>
              <w:bottom w:val="nil"/>
              <w:right w:val="nil"/>
            </w:tcBorders>
            <w:shd w:val="clear" w:color="auto" w:fill="auto"/>
            <w:noWrap/>
            <w:vAlign w:val="center"/>
            <w:hideMark/>
          </w:tcPr>
          <w:p w14:paraId="3CE23E92" w14:textId="647631DC"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6,340.7</w:t>
            </w:r>
          </w:p>
        </w:tc>
        <w:tc>
          <w:tcPr>
            <w:tcW w:w="941" w:type="dxa"/>
            <w:tcBorders>
              <w:top w:val="nil"/>
              <w:left w:val="nil"/>
              <w:bottom w:val="nil"/>
              <w:right w:val="nil"/>
            </w:tcBorders>
            <w:shd w:val="clear" w:color="auto" w:fill="auto"/>
            <w:noWrap/>
            <w:vAlign w:val="center"/>
            <w:hideMark/>
          </w:tcPr>
          <w:p w14:paraId="4E872ED2" w14:textId="7A752902"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16.3</w:t>
            </w:r>
          </w:p>
        </w:tc>
      </w:tr>
      <w:tr w:rsidR="008D3ED7" w:rsidRPr="004D429B" w14:paraId="3458F854"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5581EAE2"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Impuestos</w:t>
            </w:r>
          </w:p>
        </w:tc>
        <w:tc>
          <w:tcPr>
            <w:tcW w:w="861" w:type="dxa"/>
            <w:tcBorders>
              <w:top w:val="nil"/>
              <w:left w:val="nil"/>
              <w:bottom w:val="nil"/>
              <w:right w:val="nil"/>
            </w:tcBorders>
            <w:shd w:val="clear" w:color="auto" w:fill="auto"/>
            <w:noWrap/>
            <w:vAlign w:val="center"/>
            <w:hideMark/>
          </w:tcPr>
          <w:p w14:paraId="741CC720" w14:textId="232AD93F"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35,631.5</w:t>
            </w:r>
          </w:p>
        </w:tc>
        <w:tc>
          <w:tcPr>
            <w:tcW w:w="861" w:type="dxa"/>
            <w:tcBorders>
              <w:top w:val="nil"/>
              <w:left w:val="nil"/>
              <w:bottom w:val="nil"/>
              <w:right w:val="nil"/>
            </w:tcBorders>
            <w:shd w:val="clear" w:color="auto" w:fill="auto"/>
            <w:noWrap/>
            <w:vAlign w:val="center"/>
            <w:hideMark/>
          </w:tcPr>
          <w:p w14:paraId="0F100D77" w14:textId="642B95DD"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41,843.9</w:t>
            </w:r>
          </w:p>
        </w:tc>
        <w:tc>
          <w:tcPr>
            <w:tcW w:w="861" w:type="dxa"/>
            <w:tcBorders>
              <w:top w:val="nil"/>
              <w:left w:val="dotDash" w:sz="4" w:space="0" w:color="auto"/>
              <w:bottom w:val="nil"/>
              <w:right w:val="nil"/>
            </w:tcBorders>
            <w:shd w:val="clear" w:color="auto" w:fill="auto"/>
            <w:noWrap/>
            <w:vAlign w:val="center"/>
            <w:hideMark/>
          </w:tcPr>
          <w:p w14:paraId="75E14500" w14:textId="5114B583"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6,212.4</w:t>
            </w:r>
          </w:p>
        </w:tc>
        <w:tc>
          <w:tcPr>
            <w:tcW w:w="941" w:type="dxa"/>
            <w:tcBorders>
              <w:top w:val="nil"/>
              <w:left w:val="nil"/>
              <w:bottom w:val="nil"/>
              <w:right w:val="nil"/>
            </w:tcBorders>
            <w:shd w:val="clear" w:color="auto" w:fill="auto"/>
            <w:noWrap/>
            <w:vAlign w:val="center"/>
            <w:hideMark/>
          </w:tcPr>
          <w:p w14:paraId="5E2108BC" w14:textId="48EEF886"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17.4</w:t>
            </w:r>
          </w:p>
        </w:tc>
      </w:tr>
      <w:tr w:rsidR="008D3ED7" w:rsidRPr="004D429B" w14:paraId="0933DA23"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543B74CC"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Contribuciones sociales </w:t>
            </w:r>
          </w:p>
        </w:tc>
        <w:tc>
          <w:tcPr>
            <w:tcW w:w="861" w:type="dxa"/>
            <w:tcBorders>
              <w:top w:val="nil"/>
              <w:left w:val="nil"/>
              <w:bottom w:val="nil"/>
              <w:right w:val="nil"/>
            </w:tcBorders>
            <w:shd w:val="clear" w:color="auto" w:fill="auto"/>
            <w:noWrap/>
            <w:vAlign w:val="center"/>
            <w:hideMark/>
          </w:tcPr>
          <w:p w14:paraId="07FC9E7D" w14:textId="14F28DA9"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2,316.0</w:t>
            </w:r>
          </w:p>
        </w:tc>
        <w:tc>
          <w:tcPr>
            <w:tcW w:w="861" w:type="dxa"/>
            <w:tcBorders>
              <w:top w:val="nil"/>
              <w:left w:val="nil"/>
              <w:bottom w:val="nil"/>
              <w:right w:val="nil"/>
            </w:tcBorders>
            <w:shd w:val="clear" w:color="auto" w:fill="auto"/>
            <w:noWrap/>
            <w:vAlign w:val="center"/>
            <w:hideMark/>
          </w:tcPr>
          <w:p w14:paraId="0158D5DD" w14:textId="552F96E3"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2,331.8</w:t>
            </w:r>
          </w:p>
        </w:tc>
        <w:tc>
          <w:tcPr>
            <w:tcW w:w="861" w:type="dxa"/>
            <w:tcBorders>
              <w:top w:val="nil"/>
              <w:left w:val="dotDash" w:sz="4" w:space="0" w:color="auto"/>
              <w:bottom w:val="nil"/>
              <w:right w:val="nil"/>
            </w:tcBorders>
            <w:shd w:val="clear" w:color="auto" w:fill="auto"/>
            <w:noWrap/>
            <w:vAlign w:val="center"/>
            <w:hideMark/>
          </w:tcPr>
          <w:p w14:paraId="48113875" w14:textId="621C00B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15.8</w:t>
            </w:r>
          </w:p>
        </w:tc>
        <w:tc>
          <w:tcPr>
            <w:tcW w:w="941" w:type="dxa"/>
            <w:tcBorders>
              <w:top w:val="nil"/>
              <w:left w:val="nil"/>
              <w:bottom w:val="nil"/>
              <w:right w:val="nil"/>
            </w:tcBorders>
            <w:shd w:val="clear" w:color="auto" w:fill="auto"/>
            <w:noWrap/>
            <w:vAlign w:val="center"/>
            <w:hideMark/>
          </w:tcPr>
          <w:p w14:paraId="57AFAAAF" w14:textId="5197A017"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0.7</w:t>
            </w:r>
          </w:p>
        </w:tc>
      </w:tr>
      <w:tr w:rsidR="008D3ED7" w:rsidRPr="004D429B" w14:paraId="51764967"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5442D09"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Donaciones</w:t>
            </w:r>
          </w:p>
        </w:tc>
        <w:tc>
          <w:tcPr>
            <w:tcW w:w="861" w:type="dxa"/>
            <w:tcBorders>
              <w:top w:val="nil"/>
              <w:left w:val="nil"/>
              <w:bottom w:val="nil"/>
              <w:right w:val="nil"/>
            </w:tcBorders>
            <w:shd w:val="clear" w:color="auto" w:fill="auto"/>
            <w:noWrap/>
            <w:vAlign w:val="center"/>
            <w:hideMark/>
          </w:tcPr>
          <w:p w14:paraId="43806E36" w14:textId="3F5A2A78"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76.2</w:t>
            </w:r>
          </w:p>
        </w:tc>
        <w:tc>
          <w:tcPr>
            <w:tcW w:w="861" w:type="dxa"/>
            <w:tcBorders>
              <w:top w:val="nil"/>
              <w:left w:val="nil"/>
              <w:bottom w:val="nil"/>
              <w:right w:val="nil"/>
            </w:tcBorders>
            <w:shd w:val="clear" w:color="auto" w:fill="auto"/>
            <w:noWrap/>
            <w:vAlign w:val="center"/>
            <w:hideMark/>
          </w:tcPr>
          <w:p w14:paraId="3110F372" w14:textId="2F4E3CE4"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44.3</w:t>
            </w:r>
          </w:p>
        </w:tc>
        <w:tc>
          <w:tcPr>
            <w:tcW w:w="861" w:type="dxa"/>
            <w:tcBorders>
              <w:top w:val="nil"/>
              <w:left w:val="dotDash" w:sz="4" w:space="0" w:color="auto"/>
              <w:bottom w:val="nil"/>
              <w:right w:val="nil"/>
            </w:tcBorders>
            <w:shd w:val="clear" w:color="auto" w:fill="auto"/>
            <w:noWrap/>
            <w:vAlign w:val="center"/>
            <w:hideMark/>
          </w:tcPr>
          <w:p w14:paraId="7258307B" w14:textId="204150A9"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-31.8</w:t>
            </w:r>
          </w:p>
        </w:tc>
        <w:tc>
          <w:tcPr>
            <w:tcW w:w="941" w:type="dxa"/>
            <w:tcBorders>
              <w:top w:val="nil"/>
              <w:left w:val="nil"/>
              <w:bottom w:val="nil"/>
              <w:right w:val="nil"/>
            </w:tcBorders>
            <w:shd w:val="clear" w:color="auto" w:fill="auto"/>
            <w:noWrap/>
            <w:vAlign w:val="center"/>
            <w:hideMark/>
          </w:tcPr>
          <w:p w14:paraId="3C48D73E" w14:textId="5928CFF3"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-41.8</w:t>
            </w:r>
          </w:p>
        </w:tc>
      </w:tr>
      <w:tr w:rsidR="008D3ED7" w:rsidRPr="004D429B" w14:paraId="28085D07"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41EAD321"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Otros ingresos </w:t>
            </w:r>
          </w:p>
        </w:tc>
        <w:tc>
          <w:tcPr>
            <w:tcW w:w="861" w:type="dxa"/>
            <w:tcBorders>
              <w:top w:val="nil"/>
              <w:left w:val="nil"/>
              <w:bottom w:val="nil"/>
              <w:right w:val="nil"/>
            </w:tcBorders>
            <w:shd w:val="clear" w:color="auto" w:fill="auto"/>
            <w:noWrap/>
            <w:vAlign w:val="center"/>
            <w:hideMark/>
          </w:tcPr>
          <w:p w14:paraId="68B2633D" w14:textId="5F56E6C9"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976.6</w:t>
            </w:r>
          </w:p>
        </w:tc>
        <w:tc>
          <w:tcPr>
            <w:tcW w:w="861" w:type="dxa"/>
            <w:tcBorders>
              <w:top w:val="nil"/>
              <w:left w:val="nil"/>
              <w:bottom w:val="nil"/>
              <w:right w:val="nil"/>
            </w:tcBorders>
            <w:shd w:val="clear" w:color="auto" w:fill="auto"/>
            <w:noWrap/>
            <w:vAlign w:val="center"/>
            <w:hideMark/>
          </w:tcPr>
          <w:p w14:paraId="1E961B97" w14:textId="77B696AF"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1,121.0</w:t>
            </w:r>
          </w:p>
        </w:tc>
        <w:tc>
          <w:tcPr>
            <w:tcW w:w="861" w:type="dxa"/>
            <w:tcBorders>
              <w:top w:val="nil"/>
              <w:left w:val="dotDash" w:sz="4" w:space="0" w:color="auto"/>
              <w:bottom w:val="nil"/>
              <w:right w:val="nil"/>
            </w:tcBorders>
            <w:shd w:val="clear" w:color="auto" w:fill="auto"/>
            <w:noWrap/>
            <w:vAlign w:val="center"/>
            <w:hideMark/>
          </w:tcPr>
          <w:p w14:paraId="7FAD3011" w14:textId="0155EF52"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144.4</w:t>
            </w:r>
          </w:p>
        </w:tc>
        <w:tc>
          <w:tcPr>
            <w:tcW w:w="941" w:type="dxa"/>
            <w:tcBorders>
              <w:top w:val="nil"/>
              <w:left w:val="nil"/>
              <w:bottom w:val="nil"/>
              <w:right w:val="nil"/>
            </w:tcBorders>
            <w:shd w:val="clear" w:color="auto" w:fill="auto"/>
            <w:noWrap/>
            <w:vAlign w:val="center"/>
            <w:hideMark/>
          </w:tcPr>
          <w:p w14:paraId="3219EF91" w14:textId="77963305"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14.8</w:t>
            </w:r>
          </w:p>
        </w:tc>
      </w:tr>
      <w:tr w:rsidR="008D3ED7" w:rsidRPr="004D429B" w14:paraId="10FB4E84"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63E596BB" w14:textId="77777777" w:rsidR="008D3ED7" w:rsidRPr="004D429B" w:rsidRDefault="008D3ED7" w:rsidP="008D3ED7">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GASTO</w:t>
            </w:r>
          </w:p>
        </w:tc>
        <w:tc>
          <w:tcPr>
            <w:tcW w:w="861" w:type="dxa"/>
            <w:tcBorders>
              <w:top w:val="nil"/>
              <w:left w:val="nil"/>
              <w:bottom w:val="nil"/>
              <w:right w:val="nil"/>
            </w:tcBorders>
            <w:shd w:val="clear" w:color="auto" w:fill="auto"/>
            <w:noWrap/>
            <w:vAlign w:val="center"/>
            <w:hideMark/>
          </w:tcPr>
          <w:p w14:paraId="79D45ED2" w14:textId="4E1EA834"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39,409.2</w:t>
            </w:r>
          </w:p>
        </w:tc>
        <w:tc>
          <w:tcPr>
            <w:tcW w:w="861" w:type="dxa"/>
            <w:tcBorders>
              <w:top w:val="nil"/>
              <w:left w:val="nil"/>
              <w:bottom w:val="nil"/>
              <w:right w:val="nil"/>
            </w:tcBorders>
            <w:shd w:val="clear" w:color="auto" w:fill="auto"/>
            <w:noWrap/>
            <w:vAlign w:val="center"/>
            <w:hideMark/>
          </w:tcPr>
          <w:p w14:paraId="634684CA" w14:textId="512BBE57"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45,195.3</w:t>
            </w:r>
          </w:p>
        </w:tc>
        <w:tc>
          <w:tcPr>
            <w:tcW w:w="861" w:type="dxa"/>
            <w:tcBorders>
              <w:top w:val="nil"/>
              <w:left w:val="dotDash" w:sz="4" w:space="0" w:color="auto"/>
              <w:bottom w:val="nil"/>
              <w:right w:val="nil"/>
            </w:tcBorders>
            <w:shd w:val="clear" w:color="auto" w:fill="auto"/>
            <w:noWrap/>
            <w:vAlign w:val="center"/>
            <w:hideMark/>
          </w:tcPr>
          <w:p w14:paraId="236125CE" w14:textId="1348B26D"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5,786.1</w:t>
            </w:r>
          </w:p>
        </w:tc>
        <w:tc>
          <w:tcPr>
            <w:tcW w:w="941" w:type="dxa"/>
            <w:tcBorders>
              <w:top w:val="nil"/>
              <w:left w:val="nil"/>
              <w:bottom w:val="nil"/>
              <w:right w:val="nil"/>
            </w:tcBorders>
            <w:shd w:val="clear" w:color="auto" w:fill="auto"/>
            <w:noWrap/>
            <w:vAlign w:val="center"/>
            <w:hideMark/>
          </w:tcPr>
          <w:p w14:paraId="60F4234E" w14:textId="62E280E4"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14.7</w:t>
            </w:r>
          </w:p>
        </w:tc>
      </w:tr>
      <w:tr w:rsidR="008D3ED7" w:rsidRPr="004D429B" w14:paraId="461F9122"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13FFD601"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Remuneración a los empleados </w:t>
            </w:r>
          </w:p>
        </w:tc>
        <w:tc>
          <w:tcPr>
            <w:tcW w:w="861" w:type="dxa"/>
            <w:tcBorders>
              <w:top w:val="nil"/>
              <w:left w:val="nil"/>
              <w:bottom w:val="nil"/>
              <w:right w:val="nil"/>
            </w:tcBorders>
            <w:shd w:val="clear" w:color="auto" w:fill="auto"/>
            <w:noWrap/>
            <w:vAlign w:val="center"/>
            <w:hideMark/>
          </w:tcPr>
          <w:p w14:paraId="58C192BE" w14:textId="52E9FD21"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13,967.2</w:t>
            </w:r>
          </w:p>
        </w:tc>
        <w:tc>
          <w:tcPr>
            <w:tcW w:w="861" w:type="dxa"/>
            <w:tcBorders>
              <w:top w:val="nil"/>
              <w:left w:val="nil"/>
              <w:bottom w:val="nil"/>
              <w:right w:val="nil"/>
            </w:tcBorders>
            <w:shd w:val="clear" w:color="auto" w:fill="auto"/>
            <w:noWrap/>
            <w:vAlign w:val="center"/>
            <w:hideMark/>
          </w:tcPr>
          <w:p w14:paraId="15276D93" w14:textId="30126887"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14,599.1</w:t>
            </w:r>
          </w:p>
        </w:tc>
        <w:tc>
          <w:tcPr>
            <w:tcW w:w="861" w:type="dxa"/>
            <w:tcBorders>
              <w:top w:val="nil"/>
              <w:left w:val="dotDash" w:sz="4" w:space="0" w:color="auto"/>
              <w:bottom w:val="nil"/>
              <w:right w:val="nil"/>
            </w:tcBorders>
            <w:shd w:val="clear" w:color="auto" w:fill="auto"/>
            <w:noWrap/>
            <w:vAlign w:val="center"/>
            <w:hideMark/>
          </w:tcPr>
          <w:p w14:paraId="24A35F1F" w14:textId="496FBDEA"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631.9</w:t>
            </w:r>
          </w:p>
        </w:tc>
        <w:tc>
          <w:tcPr>
            <w:tcW w:w="941" w:type="dxa"/>
            <w:tcBorders>
              <w:top w:val="nil"/>
              <w:left w:val="nil"/>
              <w:bottom w:val="nil"/>
              <w:right w:val="nil"/>
            </w:tcBorders>
            <w:shd w:val="clear" w:color="auto" w:fill="auto"/>
            <w:noWrap/>
            <w:vAlign w:val="center"/>
            <w:hideMark/>
          </w:tcPr>
          <w:p w14:paraId="2A84DD03" w14:textId="4495667C"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4.5</w:t>
            </w:r>
          </w:p>
        </w:tc>
      </w:tr>
      <w:tr w:rsidR="008D3ED7" w:rsidRPr="004D429B" w14:paraId="763002C0"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440FA569"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Uso de bienes y servicios  </w:t>
            </w:r>
          </w:p>
        </w:tc>
        <w:tc>
          <w:tcPr>
            <w:tcW w:w="861" w:type="dxa"/>
            <w:tcBorders>
              <w:top w:val="nil"/>
              <w:left w:val="nil"/>
              <w:bottom w:val="nil"/>
              <w:right w:val="nil"/>
            </w:tcBorders>
            <w:shd w:val="clear" w:color="auto" w:fill="auto"/>
            <w:noWrap/>
            <w:vAlign w:val="center"/>
            <w:hideMark/>
          </w:tcPr>
          <w:p w14:paraId="274981BE" w14:textId="5EC56AE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5,199.4</w:t>
            </w:r>
          </w:p>
        </w:tc>
        <w:tc>
          <w:tcPr>
            <w:tcW w:w="861" w:type="dxa"/>
            <w:tcBorders>
              <w:top w:val="nil"/>
              <w:left w:val="nil"/>
              <w:bottom w:val="nil"/>
              <w:right w:val="nil"/>
            </w:tcBorders>
            <w:shd w:val="clear" w:color="auto" w:fill="auto"/>
            <w:noWrap/>
            <w:vAlign w:val="center"/>
            <w:hideMark/>
          </w:tcPr>
          <w:p w14:paraId="4A030C45" w14:textId="6F41B63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5,388.4</w:t>
            </w:r>
          </w:p>
        </w:tc>
        <w:tc>
          <w:tcPr>
            <w:tcW w:w="861" w:type="dxa"/>
            <w:tcBorders>
              <w:top w:val="nil"/>
              <w:left w:val="dotDash" w:sz="4" w:space="0" w:color="auto"/>
              <w:bottom w:val="nil"/>
              <w:right w:val="nil"/>
            </w:tcBorders>
            <w:shd w:val="clear" w:color="auto" w:fill="auto"/>
            <w:noWrap/>
            <w:vAlign w:val="center"/>
            <w:hideMark/>
          </w:tcPr>
          <w:p w14:paraId="71FAA062" w14:textId="687B8197"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189.0</w:t>
            </w:r>
          </w:p>
        </w:tc>
        <w:tc>
          <w:tcPr>
            <w:tcW w:w="941" w:type="dxa"/>
            <w:tcBorders>
              <w:top w:val="nil"/>
              <w:left w:val="nil"/>
              <w:bottom w:val="nil"/>
              <w:right w:val="nil"/>
            </w:tcBorders>
            <w:shd w:val="clear" w:color="auto" w:fill="auto"/>
            <w:noWrap/>
            <w:vAlign w:val="center"/>
            <w:hideMark/>
          </w:tcPr>
          <w:p w14:paraId="36E7D054" w14:textId="375DF426"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3.6</w:t>
            </w:r>
          </w:p>
        </w:tc>
      </w:tr>
      <w:tr w:rsidR="008D3ED7" w:rsidRPr="004D429B" w14:paraId="59EDB4D0"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AE67098"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Intereses </w:t>
            </w:r>
          </w:p>
        </w:tc>
        <w:tc>
          <w:tcPr>
            <w:tcW w:w="861" w:type="dxa"/>
            <w:tcBorders>
              <w:top w:val="nil"/>
              <w:left w:val="nil"/>
              <w:bottom w:val="nil"/>
              <w:right w:val="nil"/>
            </w:tcBorders>
            <w:shd w:val="clear" w:color="auto" w:fill="auto"/>
            <w:noWrap/>
            <w:vAlign w:val="center"/>
            <w:hideMark/>
          </w:tcPr>
          <w:p w14:paraId="657A3FF9" w14:textId="10A69E8F"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5,504.8</w:t>
            </w:r>
          </w:p>
        </w:tc>
        <w:tc>
          <w:tcPr>
            <w:tcW w:w="861" w:type="dxa"/>
            <w:tcBorders>
              <w:top w:val="nil"/>
              <w:left w:val="nil"/>
              <w:bottom w:val="nil"/>
              <w:right w:val="nil"/>
            </w:tcBorders>
            <w:shd w:val="clear" w:color="auto" w:fill="auto"/>
            <w:noWrap/>
            <w:vAlign w:val="center"/>
            <w:hideMark/>
          </w:tcPr>
          <w:p w14:paraId="1DF51B9C" w14:textId="01E0AFB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5,808.0</w:t>
            </w:r>
          </w:p>
        </w:tc>
        <w:tc>
          <w:tcPr>
            <w:tcW w:w="861" w:type="dxa"/>
            <w:tcBorders>
              <w:top w:val="nil"/>
              <w:left w:val="dotDash" w:sz="4" w:space="0" w:color="auto"/>
              <w:bottom w:val="nil"/>
              <w:right w:val="nil"/>
            </w:tcBorders>
            <w:shd w:val="clear" w:color="auto" w:fill="auto"/>
            <w:noWrap/>
            <w:vAlign w:val="center"/>
            <w:hideMark/>
          </w:tcPr>
          <w:p w14:paraId="5F30F594" w14:textId="02FCAEE0"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303.2</w:t>
            </w:r>
          </w:p>
        </w:tc>
        <w:tc>
          <w:tcPr>
            <w:tcW w:w="941" w:type="dxa"/>
            <w:tcBorders>
              <w:top w:val="nil"/>
              <w:left w:val="nil"/>
              <w:bottom w:val="nil"/>
              <w:right w:val="nil"/>
            </w:tcBorders>
            <w:shd w:val="clear" w:color="auto" w:fill="auto"/>
            <w:noWrap/>
            <w:vAlign w:val="center"/>
            <w:hideMark/>
          </w:tcPr>
          <w:p w14:paraId="744A1AA9" w14:textId="0E56A13D"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5.5</w:t>
            </w:r>
          </w:p>
        </w:tc>
      </w:tr>
      <w:tr w:rsidR="008D3ED7" w:rsidRPr="004D429B" w14:paraId="4F52C47F"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0F3E6D4D"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Subsidios </w:t>
            </w:r>
          </w:p>
        </w:tc>
        <w:tc>
          <w:tcPr>
            <w:tcW w:w="861" w:type="dxa"/>
            <w:tcBorders>
              <w:top w:val="nil"/>
              <w:left w:val="nil"/>
              <w:bottom w:val="nil"/>
              <w:right w:val="nil"/>
            </w:tcBorders>
            <w:shd w:val="clear" w:color="auto" w:fill="auto"/>
            <w:noWrap/>
            <w:vAlign w:val="center"/>
            <w:hideMark/>
          </w:tcPr>
          <w:p w14:paraId="68F3DF5D" w14:textId="04F6ED5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192.8</w:t>
            </w:r>
          </w:p>
        </w:tc>
        <w:tc>
          <w:tcPr>
            <w:tcW w:w="861" w:type="dxa"/>
            <w:tcBorders>
              <w:top w:val="nil"/>
              <w:left w:val="nil"/>
              <w:bottom w:val="nil"/>
              <w:right w:val="nil"/>
            </w:tcBorders>
            <w:shd w:val="clear" w:color="auto" w:fill="auto"/>
            <w:noWrap/>
            <w:vAlign w:val="center"/>
            <w:hideMark/>
          </w:tcPr>
          <w:p w14:paraId="6ECCDC0F" w14:textId="71C5DA5B"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1,690.2</w:t>
            </w:r>
          </w:p>
        </w:tc>
        <w:tc>
          <w:tcPr>
            <w:tcW w:w="861" w:type="dxa"/>
            <w:tcBorders>
              <w:top w:val="nil"/>
              <w:left w:val="dotDash" w:sz="4" w:space="0" w:color="auto"/>
              <w:bottom w:val="nil"/>
              <w:right w:val="nil"/>
            </w:tcBorders>
            <w:shd w:val="clear" w:color="auto" w:fill="auto"/>
            <w:noWrap/>
            <w:vAlign w:val="center"/>
            <w:hideMark/>
          </w:tcPr>
          <w:p w14:paraId="44230D28" w14:textId="74A4D8A2"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1,497.4</w:t>
            </w:r>
          </w:p>
        </w:tc>
        <w:tc>
          <w:tcPr>
            <w:tcW w:w="941" w:type="dxa"/>
            <w:tcBorders>
              <w:top w:val="nil"/>
              <w:left w:val="nil"/>
              <w:bottom w:val="nil"/>
              <w:right w:val="nil"/>
            </w:tcBorders>
            <w:shd w:val="clear" w:color="auto" w:fill="auto"/>
            <w:noWrap/>
            <w:vAlign w:val="center"/>
            <w:hideMark/>
          </w:tcPr>
          <w:p w14:paraId="0FBC8BFB" w14:textId="6EB088EF"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776.6</w:t>
            </w:r>
          </w:p>
        </w:tc>
      </w:tr>
      <w:tr w:rsidR="008D3ED7" w:rsidRPr="004D429B" w14:paraId="1F5BC8D0"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35490B56"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Donaciones </w:t>
            </w:r>
          </w:p>
        </w:tc>
        <w:tc>
          <w:tcPr>
            <w:tcW w:w="861" w:type="dxa"/>
            <w:tcBorders>
              <w:top w:val="nil"/>
              <w:left w:val="nil"/>
              <w:bottom w:val="nil"/>
              <w:right w:val="nil"/>
            </w:tcBorders>
            <w:shd w:val="clear" w:color="auto" w:fill="auto"/>
            <w:noWrap/>
            <w:vAlign w:val="center"/>
            <w:hideMark/>
          </w:tcPr>
          <w:p w14:paraId="4E44BBDB" w14:textId="6EB32038"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9,367.7</w:t>
            </w:r>
          </w:p>
        </w:tc>
        <w:tc>
          <w:tcPr>
            <w:tcW w:w="861" w:type="dxa"/>
            <w:tcBorders>
              <w:top w:val="nil"/>
              <w:left w:val="nil"/>
              <w:bottom w:val="nil"/>
              <w:right w:val="nil"/>
            </w:tcBorders>
            <w:shd w:val="clear" w:color="auto" w:fill="auto"/>
            <w:noWrap/>
            <w:vAlign w:val="center"/>
            <w:hideMark/>
          </w:tcPr>
          <w:p w14:paraId="3DE7A3B0" w14:textId="2781E681"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11,417.3</w:t>
            </w:r>
          </w:p>
        </w:tc>
        <w:tc>
          <w:tcPr>
            <w:tcW w:w="861" w:type="dxa"/>
            <w:tcBorders>
              <w:top w:val="nil"/>
              <w:left w:val="dotDash" w:sz="4" w:space="0" w:color="auto"/>
              <w:bottom w:val="nil"/>
              <w:right w:val="nil"/>
            </w:tcBorders>
            <w:shd w:val="clear" w:color="auto" w:fill="auto"/>
            <w:noWrap/>
            <w:vAlign w:val="center"/>
            <w:hideMark/>
          </w:tcPr>
          <w:p w14:paraId="7A7F7CB0" w14:textId="3DC96CF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2,049.6</w:t>
            </w:r>
          </w:p>
        </w:tc>
        <w:tc>
          <w:tcPr>
            <w:tcW w:w="941" w:type="dxa"/>
            <w:tcBorders>
              <w:top w:val="nil"/>
              <w:left w:val="nil"/>
              <w:bottom w:val="nil"/>
              <w:right w:val="nil"/>
            </w:tcBorders>
            <w:shd w:val="clear" w:color="auto" w:fill="auto"/>
            <w:noWrap/>
            <w:vAlign w:val="center"/>
            <w:hideMark/>
          </w:tcPr>
          <w:p w14:paraId="07DF5F68" w14:textId="55EEE690"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21.9</w:t>
            </w:r>
          </w:p>
        </w:tc>
      </w:tr>
      <w:tr w:rsidR="008D3ED7" w:rsidRPr="004D429B" w14:paraId="6A4F1395"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1F33979A"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Prestaciones sociales </w:t>
            </w:r>
          </w:p>
        </w:tc>
        <w:tc>
          <w:tcPr>
            <w:tcW w:w="861" w:type="dxa"/>
            <w:tcBorders>
              <w:top w:val="nil"/>
              <w:left w:val="nil"/>
              <w:bottom w:val="nil"/>
              <w:right w:val="nil"/>
            </w:tcBorders>
            <w:shd w:val="clear" w:color="auto" w:fill="auto"/>
            <w:noWrap/>
            <w:vAlign w:val="center"/>
            <w:hideMark/>
          </w:tcPr>
          <w:p w14:paraId="194B9FBA" w14:textId="04CABB89"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2,663.5</w:t>
            </w:r>
          </w:p>
        </w:tc>
        <w:tc>
          <w:tcPr>
            <w:tcW w:w="861" w:type="dxa"/>
            <w:tcBorders>
              <w:top w:val="nil"/>
              <w:left w:val="nil"/>
              <w:bottom w:val="nil"/>
              <w:right w:val="nil"/>
            </w:tcBorders>
            <w:shd w:val="clear" w:color="auto" w:fill="auto"/>
            <w:noWrap/>
            <w:vAlign w:val="center"/>
            <w:hideMark/>
          </w:tcPr>
          <w:p w14:paraId="053B5F91" w14:textId="5782D770"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2,890.5</w:t>
            </w:r>
          </w:p>
        </w:tc>
        <w:tc>
          <w:tcPr>
            <w:tcW w:w="861" w:type="dxa"/>
            <w:tcBorders>
              <w:top w:val="nil"/>
              <w:left w:val="dotDash" w:sz="4" w:space="0" w:color="auto"/>
              <w:bottom w:val="nil"/>
              <w:right w:val="nil"/>
            </w:tcBorders>
            <w:shd w:val="clear" w:color="auto" w:fill="auto"/>
            <w:noWrap/>
            <w:vAlign w:val="center"/>
            <w:hideMark/>
          </w:tcPr>
          <w:p w14:paraId="51CDEB9B" w14:textId="1643893B"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227.0</w:t>
            </w:r>
          </w:p>
        </w:tc>
        <w:tc>
          <w:tcPr>
            <w:tcW w:w="941" w:type="dxa"/>
            <w:tcBorders>
              <w:top w:val="nil"/>
              <w:left w:val="nil"/>
              <w:bottom w:val="nil"/>
              <w:right w:val="nil"/>
            </w:tcBorders>
            <w:shd w:val="clear" w:color="auto" w:fill="auto"/>
            <w:noWrap/>
            <w:vAlign w:val="center"/>
            <w:hideMark/>
          </w:tcPr>
          <w:p w14:paraId="63D48068" w14:textId="32DE2CFD"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8.5</w:t>
            </w:r>
          </w:p>
        </w:tc>
      </w:tr>
      <w:tr w:rsidR="008D3ED7" w:rsidRPr="004D429B" w14:paraId="2C09391E"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76AF3A5B" w14:textId="77777777" w:rsidR="008D3ED7" w:rsidRPr="004D429B" w:rsidRDefault="008D3ED7" w:rsidP="008D3ED7">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 xml:space="preserve">Otros gastos </w:t>
            </w:r>
          </w:p>
        </w:tc>
        <w:tc>
          <w:tcPr>
            <w:tcW w:w="861" w:type="dxa"/>
            <w:tcBorders>
              <w:top w:val="nil"/>
              <w:left w:val="nil"/>
              <w:bottom w:val="nil"/>
              <w:right w:val="nil"/>
            </w:tcBorders>
            <w:shd w:val="clear" w:color="auto" w:fill="auto"/>
            <w:noWrap/>
            <w:vAlign w:val="center"/>
            <w:hideMark/>
          </w:tcPr>
          <w:p w14:paraId="3B5E9F3C" w14:textId="50C976CD"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2,513.8</w:t>
            </w:r>
          </w:p>
        </w:tc>
        <w:tc>
          <w:tcPr>
            <w:tcW w:w="861" w:type="dxa"/>
            <w:tcBorders>
              <w:top w:val="nil"/>
              <w:left w:val="nil"/>
              <w:bottom w:val="nil"/>
              <w:right w:val="nil"/>
            </w:tcBorders>
            <w:shd w:val="clear" w:color="auto" w:fill="auto"/>
            <w:noWrap/>
            <w:vAlign w:val="center"/>
            <w:hideMark/>
          </w:tcPr>
          <w:p w14:paraId="380F831C" w14:textId="25C7C008"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3,401.7</w:t>
            </w:r>
          </w:p>
        </w:tc>
        <w:tc>
          <w:tcPr>
            <w:tcW w:w="861" w:type="dxa"/>
            <w:tcBorders>
              <w:top w:val="nil"/>
              <w:left w:val="dotDash" w:sz="4" w:space="0" w:color="auto"/>
              <w:bottom w:val="nil"/>
              <w:right w:val="nil"/>
            </w:tcBorders>
            <w:shd w:val="clear" w:color="auto" w:fill="auto"/>
            <w:noWrap/>
            <w:vAlign w:val="center"/>
            <w:hideMark/>
          </w:tcPr>
          <w:p w14:paraId="4625997F" w14:textId="623DCB22"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887.9</w:t>
            </w:r>
          </w:p>
        </w:tc>
        <w:tc>
          <w:tcPr>
            <w:tcW w:w="941" w:type="dxa"/>
            <w:tcBorders>
              <w:top w:val="nil"/>
              <w:left w:val="nil"/>
              <w:bottom w:val="nil"/>
              <w:right w:val="nil"/>
            </w:tcBorders>
            <w:shd w:val="clear" w:color="auto" w:fill="auto"/>
            <w:noWrap/>
            <w:vAlign w:val="center"/>
            <w:hideMark/>
          </w:tcPr>
          <w:p w14:paraId="2B7E6C30" w14:textId="5418D1BE" w:rsidR="008D3ED7" w:rsidRPr="008D3ED7" w:rsidRDefault="008D3ED7" w:rsidP="008D3ED7">
            <w:pPr>
              <w:jc w:val="center"/>
              <w:rPr>
                <w:rFonts w:eastAsia="Times New Roman" w:cs="Times New Roman"/>
                <w:color w:val="000000"/>
                <w:sz w:val="16"/>
                <w:szCs w:val="16"/>
                <w:lang w:eastAsia="es-GT"/>
              </w:rPr>
            </w:pPr>
            <w:r w:rsidRPr="008D3ED7">
              <w:rPr>
                <w:color w:val="000000"/>
                <w:sz w:val="16"/>
                <w:szCs w:val="16"/>
              </w:rPr>
              <w:t>35.3</w:t>
            </w:r>
          </w:p>
        </w:tc>
      </w:tr>
      <w:tr w:rsidR="008D3ED7" w:rsidRPr="004D429B" w14:paraId="4035D0FD"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78E0F8E7" w14:textId="77777777" w:rsidR="008D3ED7" w:rsidRPr="004D429B" w:rsidRDefault="008D3ED7" w:rsidP="008D3ED7">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Resultado Operativo Primario</w:t>
            </w:r>
          </w:p>
        </w:tc>
        <w:tc>
          <w:tcPr>
            <w:tcW w:w="861" w:type="dxa"/>
            <w:tcBorders>
              <w:top w:val="nil"/>
              <w:left w:val="nil"/>
              <w:bottom w:val="nil"/>
              <w:right w:val="nil"/>
            </w:tcBorders>
            <w:shd w:val="clear" w:color="auto" w:fill="auto"/>
            <w:noWrap/>
            <w:vAlign w:val="center"/>
            <w:hideMark/>
          </w:tcPr>
          <w:p w14:paraId="69B9C148" w14:textId="66EEB2E2"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5,095.9</w:t>
            </w:r>
          </w:p>
        </w:tc>
        <w:tc>
          <w:tcPr>
            <w:tcW w:w="861" w:type="dxa"/>
            <w:tcBorders>
              <w:top w:val="nil"/>
              <w:left w:val="nil"/>
              <w:bottom w:val="nil"/>
              <w:right w:val="nil"/>
            </w:tcBorders>
            <w:shd w:val="clear" w:color="auto" w:fill="auto"/>
            <w:noWrap/>
            <w:vAlign w:val="center"/>
            <w:hideMark/>
          </w:tcPr>
          <w:p w14:paraId="1638E1AB" w14:textId="4526D534"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5,953.8</w:t>
            </w:r>
          </w:p>
        </w:tc>
        <w:tc>
          <w:tcPr>
            <w:tcW w:w="861" w:type="dxa"/>
            <w:tcBorders>
              <w:top w:val="nil"/>
              <w:left w:val="dotDash" w:sz="4" w:space="0" w:color="auto"/>
              <w:bottom w:val="nil"/>
              <w:right w:val="nil"/>
            </w:tcBorders>
            <w:shd w:val="clear" w:color="auto" w:fill="auto"/>
            <w:noWrap/>
            <w:vAlign w:val="center"/>
            <w:hideMark/>
          </w:tcPr>
          <w:p w14:paraId="1F360FED" w14:textId="62FB3166"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857.9</w:t>
            </w:r>
          </w:p>
        </w:tc>
        <w:tc>
          <w:tcPr>
            <w:tcW w:w="941" w:type="dxa"/>
            <w:tcBorders>
              <w:top w:val="nil"/>
              <w:left w:val="nil"/>
              <w:bottom w:val="nil"/>
              <w:right w:val="nil"/>
            </w:tcBorders>
            <w:shd w:val="clear" w:color="auto" w:fill="auto"/>
            <w:noWrap/>
            <w:vAlign w:val="center"/>
            <w:hideMark/>
          </w:tcPr>
          <w:p w14:paraId="780DB06A" w14:textId="5C8EE234"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16.8</w:t>
            </w:r>
          </w:p>
        </w:tc>
      </w:tr>
      <w:tr w:rsidR="008D3ED7" w:rsidRPr="004D429B" w14:paraId="2491D8E0" w14:textId="77777777" w:rsidTr="008D3ED7">
        <w:trPr>
          <w:trHeight w:val="264"/>
          <w:jc w:val="center"/>
        </w:trPr>
        <w:tc>
          <w:tcPr>
            <w:tcW w:w="3164" w:type="dxa"/>
            <w:tcBorders>
              <w:top w:val="nil"/>
              <w:left w:val="nil"/>
              <w:bottom w:val="nil"/>
              <w:right w:val="nil"/>
            </w:tcBorders>
            <w:shd w:val="clear" w:color="auto" w:fill="auto"/>
            <w:noWrap/>
            <w:vAlign w:val="center"/>
            <w:hideMark/>
          </w:tcPr>
          <w:p w14:paraId="6B9F44C3" w14:textId="77777777" w:rsidR="008D3ED7" w:rsidRPr="004D429B" w:rsidRDefault="008D3ED7" w:rsidP="008D3ED7">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Resultado Operativo</w:t>
            </w:r>
          </w:p>
        </w:tc>
        <w:tc>
          <w:tcPr>
            <w:tcW w:w="861" w:type="dxa"/>
            <w:tcBorders>
              <w:top w:val="nil"/>
              <w:left w:val="nil"/>
              <w:bottom w:val="nil"/>
              <w:right w:val="nil"/>
            </w:tcBorders>
            <w:shd w:val="clear" w:color="auto" w:fill="auto"/>
            <w:noWrap/>
            <w:vAlign w:val="center"/>
            <w:hideMark/>
          </w:tcPr>
          <w:p w14:paraId="581DD849" w14:textId="4CD571E5"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-408.9</w:t>
            </w:r>
          </w:p>
        </w:tc>
        <w:tc>
          <w:tcPr>
            <w:tcW w:w="861" w:type="dxa"/>
            <w:tcBorders>
              <w:top w:val="nil"/>
              <w:left w:val="nil"/>
              <w:bottom w:val="nil"/>
              <w:right w:val="nil"/>
            </w:tcBorders>
            <w:shd w:val="clear" w:color="auto" w:fill="auto"/>
            <w:noWrap/>
            <w:vAlign w:val="center"/>
            <w:hideMark/>
          </w:tcPr>
          <w:p w14:paraId="0BFF54A5" w14:textId="30BDF1CA"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145.8</w:t>
            </w:r>
          </w:p>
        </w:tc>
        <w:tc>
          <w:tcPr>
            <w:tcW w:w="861" w:type="dxa"/>
            <w:tcBorders>
              <w:top w:val="nil"/>
              <w:left w:val="dotDash" w:sz="4" w:space="0" w:color="auto"/>
              <w:bottom w:val="nil"/>
              <w:right w:val="nil"/>
            </w:tcBorders>
            <w:shd w:val="clear" w:color="auto" w:fill="auto"/>
            <w:noWrap/>
            <w:vAlign w:val="center"/>
            <w:hideMark/>
          </w:tcPr>
          <w:p w14:paraId="5D5EF589" w14:textId="2D243281"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554.7</w:t>
            </w:r>
          </w:p>
        </w:tc>
        <w:tc>
          <w:tcPr>
            <w:tcW w:w="941" w:type="dxa"/>
            <w:tcBorders>
              <w:top w:val="nil"/>
              <w:left w:val="nil"/>
              <w:bottom w:val="nil"/>
              <w:right w:val="nil"/>
            </w:tcBorders>
            <w:shd w:val="clear" w:color="auto" w:fill="auto"/>
            <w:noWrap/>
            <w:vAlign w:val="center"/>
            <w:hideMark/>
          </w:tcPr>
          <w:p w14:paraId="1EFE806F" w14:textId="3335EEC2" w:rsidR="008D3ED7" w:rsidRPr="008D3ED7" w:rsidRDefault="008D3ED7" w:rsidP="008D3ED7">
            <w:pPr>
              <w:jc w:val="center"/>
              <w:rPr>
                <w:rFonts w:eastAsia="Times New Roman" w:cs="Times New Roman"/>
                <w:b/>
                <w:bCs/>
                <w:color w:val="000000"/>
                <w:sz w:val="16"/>
                <w:szCs w:val="16"/>
                <w:lang w:eastAsia="es-GT"/>
              </w:rPr>
            </w:pPr>
            <w:r w:rsidRPr="008D3ED7">
              <w:rPr>
                <w:b/>
                <w:bCs/>
                <w:color w:val="000000"/>
                <w:sz w:val="16"/>
                <w:szCs w:val="16"/>
              </w:rPr>
              <w:t>-135.6</w:t>
            </w:r>
          </w:p>
        </w:tc>
      </w:tr>
      <w:tr w:rsidR="004D429B" w:rsidRPr="004D429B" w14:paraId="6567B959" w14:textId="77777777" w:rsidTr="00944641">
        <w:trPr>
          <w:trHeight w:val="264"/>
          <w:jc w:val="center"/>
        </w:trPr>
        <w:tc>
          <w:tcPr>
            <w:tcW w:w="6688" w:type="dxa"/>
            <w:gridSpan w:val="5"/>
            <w:tcBorders>
              <w:top w:val="single" w:sz="8" w:space="0" w:color="auto"/>
              <w:left w:val="nil"/>
              <w:bottom w:val="double" w:sz="6" w:space="0" w:color="auto"/>
              <w:right w:val="nil"/>
            </w:tcBorders>
            <w:shd w:val="clear" w:color="auto" w:fill="auto"/>
            <w:noWrap/>
            <w:vAlign w:val="center"/>
            <w:hideMark/>
          </w:tcPr>
          <w:p w14:paraId="0A39C5D9" w14:textId="77777777" w:rsidR="004D429B" w:rsidRPr="004D429B" w:rsidRDefault="004D429B" w:rsidP="004D429B">
            <w:pPr>
              <w:rPr>
                <w:rFonts w:eastAsia="Times New Roman" w:cs="Times New Roman"/>
                <w:color w:val="4472C4"/>
                <w:sz w:val="18"/>
                <w:szCs w:val="18"/>
                <w:lang w:eastAsia="es-GT"/>
              </w:rPr>
            </w:pPr>
            <w:r w:rsidRPr="004D429B">
              <w:rPr>
                <w:rFonts w:eastAsia="Times New Roman" w:cs="Times New Roman"/>
                <w:color w:val="4472C4"/>
                <w:sz w:val="18"/>
                <w:szCs w:val="18"/>
                <w:lang w:eastAsia="es-GT"/>
              </w:rPr>
              <w:t>TRANSACCIONES EN ACTIVOS NO FINANCIEROS</w:t>
            </w:r>
          </w:p>
        </w:tc>
      </w:tr>
      <w:tr w:rsidR="004E0B1B" w:rsidRPr="004D429B" w14:paraId="084D0011" w14:textId="77777777" w:rsidTr="009C259C">
        <w:trPr>
          <w:trHeight w:val="264"/>
          <w:jc w:val="center"/>
        </w:trPr>
        <w:tc>
          <w:tcPr>
            <w:tcW w:w="3164" w:type="dxa"/>
            <w:tcBorders>
              <w:top w:val="nil"/>
              <w:left w:val="nil"/>
              <w:bottom w:val="nil"/>
              <w:right w:val="nil"/>
            </w:tcBorders>
            <w:shd w:val="clear" w:color="auto" w:fill="auto"/>
            <w:noWrap/>
            <w:vAlign w:val="center"/>
            <w:hideMark/>
          </w:tcPr>
          <w:p w14:paraId="573E68EB" w14:textId="77777777" w:rsidR="004E0B1B" w:rsidRPr="004D429B" w:rsidRDefault="004E0B1B" w:rsidP="004E0B1B">
            <w:pPr>
              <w:rPr>
                <w:rFonts w:eastAsia="Times New Roman" w:cs="Times New Roman"/>
                <w:color w:val="000000"/>
                <w:sz w:val="16"/>
                <w:szCs w:val="16"/>
                <w:lang w:eastAsia="es-GT"/>
              </w:rPr>
            </w:pPr>
            <w:r w:rsidRPr="004D429B">
              <w:rPr>
                <w:rFonts w:eastAsia="Times New Roman" w:cs="Times New Roman"/>
                <w:color w:val="000000"/>
                <w:sz w:val="16"/>
                <w:szCs w:val="16"/>
                <w:lang w:eastAsia="es-GT"/>
              </w:rPr>
              <w:t>Inversión bruta en activos no financieros</w:t>
            </w:r>
          </w:p>
        </w:tc>
        <w:tc>
          <w:tcPr>
            <w:tcW w:w="861" w:type="dxa"/>
            <w:tcBorders>
              <w:top w:val="nil"/>
              <w:left w:val="nil"/>
              <w:bottom w:val="nil"/>
              <w:right w:val="nil"/>
            </w:tcBorders>
            <w:shd w:val="clear" w:color="auto" w:fill="auto"/>
            <w:noWrap/>
            <w:vAlign w:val="center"/>
            <w:hideMark/>
          </w:tcPr>
          <w:p w14:paraId="104BD431" w14:textId="41D9D665"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1,430.7</w:t>
            </w:r>
          </w:p>
        </w:tc>
        <w:tc>
          <w:tcPr>
            <w:tcW w:w="861" w:type="dxa"/>
            <w:tcBorders>
              <w:top w:val="nil"/>
              <w:left w:val="nil"/>
              <w:bottom w:val="nil"/>
              <w:right w:val="nil"/>
            </w:tcBorders>
            <w:shd w:val="clear" w:color="auto" w:fill="auto"/>
            <w:noWrap/>
            <w:vAlign w:val="center"/>
            <w:hideMark/>
          </w:tcPr>
          <w:p w14:paraId="481826F4" w14:textId="4CFA023C"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1,752.8</w:t>
            </w:r>
          </w:p>
        </w:tc>
        <w:tc>
          <w:tcPr>
            <w:tcW w:w="861" w:type="dxa"/>
            <w:tcBorders>
              <w:top w:val="double" w:sz="6" w:space="0" w:color="auto"/>
              <w:left w:val="dotDash" w:sz="4" w:space="0" w:color="auto"/>
              <w:bottom w:val="nil"/>
              <w:right w:val="nil"/>
            </w:tcBorders>
            <w:shd w:val="clear" w:color="auto" w:fill="auto"/>
            <w:noWrap/>
            <w:vAlign w:val="center"/>
            <w:hideMark/>
          </w:tcPr>
          <w:p w14:paraId="619B3F99" w14:textId="2F9C04B8"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322.1</w:t>
            </w:r>
          </w:p>
        </w:tc>
        <w:tc>
          <w:tcPr>
            <w:tcW w:w="941" w:type="dxa"/>
            <w:tcBorders>
              <w:top w:val="nil"/>
              <w:left w:val="nil"/>
              <w:bottom w:val="nil"/>
              <w:right w:val="nil"/>
            </w:tcBorders>
            <w:shd w:val="clear" w:color="auto" w:fill="auto"/>
            <w:noWrap/>
            <w:vAlign w:val="center"/>
            <w:hideMark/>
          </w:tcPr>
          <w:p w14:paraId="1BE3AC12" w14:textId="031844DB"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22.5</w:t>
            </w:r>
          </w:p>
        </w:tc>
      </w:tr>
      <w:tr w:rsidR="004E0B1B" w:rsidRPr="004D429B" w14:paraId="5A8D5892"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0D083145" w14:textId="77777777" w:rsidR="004E0B1B" w:rsidRPr="004D429B" w:rsidRDefault="004E0B1B" w:rsidP="004E0B1B">
            <w:pPr>
              <w:rPr>
                <w:rFonts w:eastAsia="Times New Roman" w:cs="Times New Roman"/>
                <w:color w:val="000000"/>
                <w:sz w:val="16"/>
                <w:szCs w:val="16"/>
                <w:lang w:eastAsia="es-GT"/>
              </w:rPr>
            </w:pPr>
            <w:r w:rsidRPr="004D429B">
              <w:rPr>
                <w:rFonts w:eastAsia="Times New Roman" w:cs="Times New Roman"/>
                <w:color w:val="000000"/>
                <w:sz w:val="16"/>
                <w:szCs w:val="16"/>
                <w:lang w:eastAsia="es-GT"/>
              </w:rPr>
              <w:t>Erogación</w:t>
            </w:r>
          </w:p>
        </w:tc>
        <w:tc>
          <w:tcPr>
            <w:tcW w:w="861" w:type="dxa"/>
            <w:tcBorders>
              <w:top w:val="nil"/>
              <w:left w:val="nil"/>
              <w:bottom w:val="nil"/>
              <w:right w:val="nil"/>
            </w:tcBorders>
            <w:shd w:val="clear" w:color="auto" w:fill="auto"/>
            <w:noWrap/>
            <w:vAlign w:val="center"/>
            <w:hideMark/>
          </w:tcPr>
          <w:p w14:paraId="0E56D42C" w14:textId="52124EDF"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40,839.9</w:t>
            </w:r>
          </w:p>
        </w:tc>
        <w:tc>
          <w:tcPr>
            <w:tcW w:w="861" w:type="dxa"/>
            <w:tcBorders>
              <w:top w:val="nil"/>
              <w:left w:val="nil"/>
              <w:bottom w:val="nil"/>
              <w:right w:val="nil"/>
            </w:tcBorders>
            <w:shd w:val="clear" w:color="auto" w:fill="auto"/>
            <w:noWrap/>
            <w:vAlign w:val="center"/>
            <w:hideMark/>
          </w:tcPr>
          <w:p w14:paraId="341666FD" w14:textId="016233D8"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46,948.1</w:t>
            </w:r>
          </w:p>
        </w:tc>
        <w:tc>
          <w:tcPr>
            <w:tcW w:w="861" w:type="dxa"/>
            <w:tcBorders>
              <w:top w:val="nil"/>
              <w:left w:val="dotDash" w:sz="4" w:space="0" w:color="auto"/>
              <w:bottom w:val="nil"/>
              <w:right w:val="nil"/>
            </w:tcBorders>
            <w:shd w:val="clear" w:color="auto" w:fill="auto"/>
            <w:noWrap/>
            <w:vAlign w:val="center"/>
            <w:hideMark/>
          </w:tcPr>
          <w:p w14:paraId="5A79CAEE" w14:textId="4B2E0C3D"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6,108.2</w:t>
            </w:r>
          </w:p>
        </w:tc>
        <w:tc>
          <w:tcPr>
            <w:tcW w:w="941" w:type="dxa"/>
            <w:tcBorders>
              <w:top w:val="nil"/>
              <w:left w:val="nil"/>
              <w:bottom w:val="nil"/>
              <w:right w:val="nil"/>
            </w:tcBorders>
            <w:shd w:val="clear" w:color="auto" w:fill="auto"/>
            <w:noWrap/>
            <w:vAlign w:val="center"/>
            <w:hideMark/>
          </w:tcPr>
          <w:p w14:paraId="0D6AF032" w14:textId="2E4D446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15.0</w:t>
            </w:r>
          </w:p>
        </w:tc>
      </w:tr>
      <w:tr w:rsidR="004E0B1B" w:rsidRPr="004D429B" w14:paraId="205BFE93"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7B8BD1E5" w14:textId="77777777" w:rsidR="004E0B1B" w:rsidRPr="004D429B" w:rsidRDefault="004E0B1B" w:rsidP="004E0B1B">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Resultado Primario</w:t>
            </w:r>
          </w:p>
        </w:tc>
        <w:tc>
          <w:tcPr>
            <w:tcW w:w="861" w:type="dxa"/>
            <w:tcBorders>
              <w:top w:val="nil"/>
              <w:left w:val="nil"/>
              <w:bottom w:val="nil"/>
              <w:right w:val="nil"/>
            </w:tcBorders>
            <w:shd w:val="clear" w:color="auto" w:fill="auto"/>
            <w:noWrap/>
            <w:vAlign w:val="center"/>
            <w:hideMark/>
          </w:tcPr>
          <w:p w14:paraId="3E003DDF" w14:textId="2B393666"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3,665.2</w:t>
            </w:r>
          </w:p>
        </w:tc>
        <w:tc>
          <w:tcPr>
            <w:tcW w:w="861" w:type="dxa"/>
            <w:tcBorders>
              <w:top w:val="nil"/>
              <w:left w:val="nil"/>
              <w:bottom w:val="nil"/>
              <w:right w:val="nil"/>
            </w:tcBorders>
            <w:shd w:val="clear" w:color="auto" w:fill="auto"/>
            <w:noWrap/>
            <w:vAlign w:val="center"/>
            <w:hideMark/>
          </w:tcPr>
          <w:p w14:paraId="2A525B45" w14:textId="157402F0"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4,201.0</w:t>
            </w:r>
          </w:p>
        </w:tc>
        <w:tc>
          <w:tcPr>
            <w:tcW w:w="861" w:type="dxa"/>
            <w:tcBorders>
              <w:top w:val="nil"/>
              <w:left w:val="dotDash" w:sz="4" w:space="0" w:color="auto"/>
              <w:bottom w:val="nil"/>
              <w:right w:val="nil"/>
            </w:tcBorders>
            <w:shd w:val="clear" w:color="auto" w:fill="auto"/>
            <w:noWrap/>
            <w:vAlign w:val="center"/>
            <w:hideMark/>
          </w:tcPr>
          <w:p w14:paraId="348435F1" w14:textId="343D35CA"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535.8</w:t>
            </w:r>
          </w:p>
        </w:tc>
        <w:tc>
          <w:tcPr>
            <w:tcW w:w="941" w:type="dxa"/>
            <w:tcBorders>
              <w:top w:val="nil"/>
              <w:left w:val="nil"/>
              <w:bottom w:val="nil"/>
              <w:right w:val="nil"/>
            </w:tcBorders>
            <w:shd w:val="clear" w:color="auto" w:fill="auto"/>
            <w:noWrap/>
            <w:vAlign w:val="center"/>
            <w:hideMark/>
          </w:tcPr>
          <w:p w14:paraId="4F162A27" w14:textId="1C13E437"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14.6</w:t>
            </w:r>
          </w:p>
        </w:tc>
      </w:tr>
      <w:tr w:rsidR="004E0B1B" w:rsidRPr="004D429B" w14:paraId="20CDBC1D" w14:textId="77777777" w:rsidTr="008D3ED7">
        <w:trPr>
          <w:trHeight w:val="264"/>
          <w:jc w:val="center"/>
        </w:trPr>
        <w:tc>
          <w:tcPr>
            <w:tcW w:w="3164" w:type="dxa"/>
            <w:tcBorders>
              <w:top w:val="nil"/>
              <w:left w:val="nil"/>
              <w:bottom w:val="nil"/>
              <w:right w:val="nil"/>
            </w:tcBorders>
            <w:shd w:val="clear" w:color="auto" w:fill="auto"/>
            <w:noWrap/>
            <w:vAlign w:val="center"/>
            <w:hideMark/>
          </w:tcPr>
          <w:p w14:paraId="0442102B" w14:textId="77777777" w:rsidR="004E0B1B" w:rsidRPr="004D429B" w:rsidRDefault="004E0B1B" w:rsidP="004E0B1B">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Préstamo (+) / endeudamiento (-)</w:t>
            </w:r>
          </w:p>
        </w:tc>
        <w:tc>
          <w:tcPr>
            <w:tcW w:w="861" w:type="dxa"/>
            <w:tcBorders>
              <w:top w:val="nil"/>
              <w:left w:val="nil"/>
              <w:bottom w:val="nil"/>
              <w:right w:val="nil"/>
            </w:tcBorders>
            <w:shd w:val="clear" w:color="auto" w:fill="auto"/>
            <w:noWrap/>
            <w:vAlign w:val="center"/>
            <w:hideMark/>
          </w:tcPr>
          <w:p w14:paraId="7572EF06" w14:textId="64DF2642"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-1,839.6</w:t>
            </w:r>
          </w:p>
        </w:tc>
        <w:tc>
          <w:tcPr>
            <w:tcW w:w="861" w:type="dxa"/>
            <w:tcBorders>
              <w:top w:val="nil"/>
              <w:left w:val="nil"/>
              <w:bottom w:val="nil"/>
              <w:right w:val="nil"/>
            </w:tcBorders>
            <w:shd w:val="clear" w:color="auto" w:fill="auto"/>
            <w:noWrap/>
            <w:vAlign w:val="center"/>
            <w:hideMark/>
          </w:tcPr>
          <w:p w14:paraId="5548BC3A" w14:textId="23F56698"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-1,607.0</w:t>
            </w:r>
          </w:p>
        </w:tc>
        <w:tc>
          <w:tcPr>
            <w:tcW w:w="861" w:type="dxa"/>
            <w:tcBorders>
              <w:top w:val="nil"/>
              <w:left w:val="dotDash" w:sz="4" w:space="0" w:color="auto"/>
              <w:bottom w:val="nil"/>
              <w:right w:val="nil"/>
            </w:tcBorders>
            <w:shd w:val="clear" w:color="auto" w:fill="auto"/>
            <w:noWrap/>
            <w:vAlign w:val="center"/>
            <w:hideMark/>
          </w:tcPr>
          <w:p w14:paraId="6269F16F" w14:textId="3DF69CC4"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232.5</w:t>
            </w:r>
          </w:p>
        </w:tc>
        <w:tc>
          <w:tcPr>
            <w:tcW w:w="941" w:type="dxa"/>
            <w:tcBorders>
              <w:top w:val="nil"/>
              <w:left w:val="nil"/>
              <w:bottom w:val="nil"/>
              <w:right w:val="nil"/>
            </w:tcBorders>
            <w:shd w:val="clear" w:color="auto" w:fill="auto"/>
            <w:noWrap/>
            <w:vAlign w:val="center"/>
            <w:hideMark/>
          </w:tcPr>
          <w:p w14:paraId="15600C8A" w14:textId="59E12615"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-12.6</w:t>
            </w:r>
          </w:p>
        </w:tc>
      </w:tr>
      <w:tr w:rsidR="004D429B" w:rsidRPr="004D429B" w14:paraId="623E528B" w14:textId="77777777" w:rsidTr="00944641">
        <w:trPr>
          <w:trHeight w:val="264"/>
          <w:jc w:val="center"/>
        </w:trPr>
        <w:tc>
          <w:tcPr>
            <w:tcW w:w="6688" w:type="dxa"/>
            <w:gridSpan w:val="5"/>
            <w:tcBorders>
              <w:top w:val="single" w:sz="8" w:space="0" w:color="auto"/>
              <w:left w:val="nil"/>
              <w:bottom w:val="double" w:sz="6" w:space="0" w:color="auto"/>
              <w:right w:val="nil"/>
            </w:tcBorders>
            <w:shd w:val="clear" w:color="auto" w:fill="auto"/>
            <w:noWrap/>
            <w:vAlign w:val="center"/>
            <w:hideMark/>
          </w:tcPr>
          <w:p w14:paraId="0FB65DEF" w14:textId="77777777" w:rsidR="004D429B" w:rsidRPr="004D429B" w:rsidRDefault="004D429B" w:rsidP="004D429B">
            <w:pPr>
              <w:rPr>
                <w:rFonts w:eastAsia="Times New Roman" w:cs="Times New Roman"/>
                <w:color w:val="4472C4"/>
                <w:sz w:val="18"/>
                <w:szCs w:val="18"/>
                <w:lang w:eastAsia="es-GT"/>
              </w:rPr>
            </w:pPr>
            <w:r w:rsidRPr="004D429B">
              <w:rPr>
                <w:rFonts w:eastAsia="Times New Roman" w:cs="Times New Roman"/>
                <w:color w:val="4472C4"/>
                <w:sz w:val="18"/>
                <w:szCs w:val="18"/>
                <w:lang w:eastAsia="es-GT"/>
              </w:rPr>
              <w:t>TRANSACCIONES EN ACTIVOS Y PASIVOS FINANCIEROS (FINANCIMIENTO)</w:t>
            </w:r>
          </w:p>
        </w:tc>
      </w:tr>
      <w:tr w:rsidR="004E0B1B" w:rsidRPr="004D429B" w14:paraId="0F64AF95" w14:textId="77777777" w:rsidTr="00C764E0">
        <w:trPr>
          <w:trHeight w:val="264"/>
          <w:jc w:val="center"/>
        </w:trPr>
        <w:tc>
          <w:tcPr>
            <w:tcW w:w="3164" w:type="dxa"/>
            <w:tcBorders>
              <w:top w:val="nil"/>
              <w:left w:val="nil"/>
              <w:bottom w:val="nil"/>
              <w:right w:val="nil"/>
            </w:tcBorders>
            <w:shd w:val="clear" w:color="auto" w:fill="auto"/>
            <w:noWrap/>
            <w:vAlign w:val="center"/>
            <w:hideMark/>
          </w:tcPr>
          <w:p w14:paraId="0BF18B98" w14:textId="77777777" w:rsidR="004E0B1B" w:rsidRPr="004D429B" w:rsidRDefault="004E0B1B" w:rsidP="004E0B1B">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Adquisición neta de activos financieros</w:t>
            </w:r>
          </w:p>
        </w:tc>
        <w:tc>
          <w:tcPr>
            <w:tcW w:w="861" w:type="dxa"/>
            <w:tcBorders>
              <w:top w:val="nil"/>
              <w:left w:val="nil"/>
              <w:bottom w:val="nil"/>
              <w:right w:val="nil"/>
            </w:tcBorders>
            <w:shd w:val="clear" w:color="auto" w:fill="auto"/>
            <w:noWrap/>
            <w:vAlign w:val="center"/>
            <w:hideMark/>
          </w:tcPr>
          <w:p w14:paraId="4C850BAD" w14:textId="46956B74"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10,653.0</w:t>
            </w:r>
          </w:p>
        </w:tc>
        <w:tc>
          <w:tcPr>
            <w:tcW w:w="861" w:type="dxa"/>
            <w:tcBorders>
              <w:top w:val="nil"/>
              <w:left w:val="nil"/>
              <w:bottom w:val="nil"/>
              <w:right w:val="nil"/>
            </w:tcBorders>
            <w:shd w:val="clear" w:color="auto" w:fill="auto"/>
            <w:noWrap/>
            <w:vAlign w:val="center"/>
            <w:hideMark/>
          </w:tcPr>
          <w:p w14:paraId="271DD44D" w14:textId="01D2A5C6"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-1,307.0</w:t>
            </w:r>
          </w:p>
        </w:tc>
        <w:tc>
          <w:tcPr>
            <w:tcW w:w="861" w:type="dxa"/>
            <w:tcBorders>
              <w:top w:val="double" w:sz="6" w:space="0" w:color="auto"/>
              <w:left w:val="dotDash" w:sz="4" w:space="0" w:color="auto"/>
              <w:bottom w:val="nil"/>
              <w:right w:val="nil"/>
            </w:tcBorders>
            <w:shd w:val="clear" w:color="auto" w:fill="auto"/>
            <w:noWrap/>
            <w:vAlign w:val="center"/>
            <w:hideMark/>
          </w:tcPr>
          <w:p w14:paraId="3E664964" w14:textId="5136F2CD"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-11,960.1</w:t>
            </w:r>
          </w:p>
        </w:tc>
        <w:tc>
          <w:tcPr>
            <w:tcW w:w="941" w:type="dxa"/>
            <w:tcBorders>
              <w:top w:val="nil"/>
              <w:left w:val="nil"/>
              <w:bottom w:val="nil"/>
              <w:right w:val="nil"/>
            </w:tcBorders>
            <w:shd w:val="clear" w:color="auto" w:fill="auto"/>
            <w:noWrap/>
            <w:vAlign w:val="center"/>
            <w:hideMark/>
          </w:tcPr>
          <w:p w14:paraId="751A5CBD" w14:textId="52CB7137"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-112.3</w:t>
            </w:r>
          </w:p>
        </w:tc>
      </w:tr>
      <w:tr w:rsidR="004E0B1B" w:rsidRPr="004D429B" w14:paraId="006B5F4E"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4B0906B"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Billetes monedas y depósitos</w:t>
            </w:r>
          </w:p>
        </w:tc>
        <w:tc>
          <w:tcPr>
            <w:tcW w:w="861" w:type="dxa"/>
            <w:tcBorders>
              <w:top w:val="nil"/>
              <w:left w:val="nil"/>
              <w:bottom w:val="nil"/>
              <w:right w:val="nil"/>
            </w:tcBorders>
            <w:shd w:val="clear" w:color="auto" w:fill="auto"/>
            <w:noWrap/>
            <w:vAlign w:val="center"/>
            <w:hideMark/>
          </w:tcPr>
          <w:p w14:paraId="24A10F92" w14:textId="181A6A6F"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10,705.1</w:t>
            </w:r>
          </w:p>
        </w:tc>
        <w:tc>
          <w:tcPr>
            <w:tcW w:w="861" w:type="dxa"/>
            <w:tcBorders>
              <w:top w:val="nil"/>
              <w:left w:val="nil"/>
              <w:bottom w:val="nil"/>
              <w:right w:val="nil"/>
            </w:tcBorders>
            <w:shd w:val="clear" w:color="auto" w:fill="auto"/>
            <w:noWrap/>
            <w:vAlign w:val="center"/>
            <w:hideMark/>
          </w:tcPr>
          <w:p w14:paraId="51DF1E71" w14:textId="56DA525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-1,298.4</w:t>
            </w:r>
          </w:p>
        </w:tc>
        <w:tc>
          <w:tcPr>
            <w:tcW w:w="861" w:type="dxa"/>
            <w:tcBorders>
              <w:top w:val="nil"/>
              <w:left w:val="dotDash" w:sz="4" w:space="0" w:color="auto"/>
              <w:bottom w:val="nil"/>
              <w:right w:val="nil"/>
            </w:tcBorders>
            <w:shd w:val="clear" w:color="auto" w:fill="auto"/>
            <w:noWrap/>
            <w:vAlign w:val="center"/>
            <w:hideMark/>
          </w:tcPr>
          <w:p w14:paraId="779FBD0C" w14:textId="3B1CBA4B"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-12,003.5</w:t>
            </w:r>
          </w:p>
        </w:tc>
        <w:tc>
          <w:tcPr>
            <w:tcW w:w="941" w:type="dxa"/>
            <w:tcBorders>
              <w:top w:val="nil"/>
              <w:left w:val="nil"/>
              <w:bottom w:val="nil"/>
              <w:right w:val="nil"/>
            </w:tcBorders>
            <w:shd w:val="clear" w:color="auto" w:fill="auto"/>
            <w:noWrap/>
            <w:vAlign w:val="center"/>
            <w:hideMark/>
          </w:tcPr>
          <w:p w14:paraId="46247A0F" w14:textId="688E0005"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-112.1</w:t>
            </w:r>
          </w:p>
        </w:tc>
      </w:tr>
      <w:tr w:rsidR="004E0B1B" w:rsidRPr="004D429B" w14:paraId="0038A0E3"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3233DC3F"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0A953D79" w14:textId="636F9B00"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-52.1</w:t>
            </w:r>
          </w:p>
        </w:tc>
        <w:tc>
          <w:tcPr>
            <w:tcW w:w="861" w:type="dxa"/>
            <w:tcBorders>
              <w:top w:val="nil"/>
              <w:left w:val="nil"/>
              <w:bottom w:val="nil"/>
              <w:right w:val="nil"/>
            </w:tcBorders>
            <w:shd w:val="clear" w:color="auto" w:fill="auto"/>
            <w:noWrap/>
            <w:vAlign w:val="center"/>
            <w:hideMark/>
          </w:tcPr>
          <w:p w14:paraId="1A640F1B" w14:textId="76D2529B"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-8.7</w:t>
            </w:r>
          </w:p>
        </w:tc>
        <w:tc>
          <w:tcPr>
            <w:tcW w:w="861" w:type="dxa"/>
            <w:tcBorders>
              <w:top w:val="nil"/>
              <w:left w:val="dotDash" w:sz="4" w:space="0" w:color="auto"/>
              <w:bottom w:val="nil"/>
              <w:right w:val="nil"/>
            </w:tcBorders>
            <w:shd w:val="clear" w:color="auto" w:fill="auto"/>
            <w:noWrap/>
            <w:vAlign w:val="center"/>
            <w:hideMark/>
          </w:tcPr>
          <w:p w14:paraId="0BA44D39" w14:textId="182480D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43.4</w:t>
            </w:r>
          </w:p>
        </w:tc>
        <w:tc>
          <w:tcPr>
            <w:tcW w:w="941" w:type="dxa"/>
            <w:tcBorders>
              <w:top w:val="nil"/>
              <w:left w:val="nil"/>
              <w:bottom w:val="nil"/>
              <w:right w:val="nil"/>
            </w:tcBorders>
            <w:shd w:val="clear" w:color="auto" w:fill="auto"/>
            <w:noWrap/>
            <w:vAlign w:val="center"/>
            <w:hideMark/>
          </w:tcPr>
          <w:p w14:paraId="39334DB3" w14:textId="6F085826"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-83.3</w:t>
            </w:r>
          </w:p>
        </w:tc>
      </w:tr>
      <w:tr w:rsidR="004E0B1B" w:rsidRPr="004D429B" w14:paraId="6BBF7F75"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1780DFF6"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61C9C63" w14:textId="34FFA987"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0.0</w:t>
            </w:r>
          </w:p>
        </w:tc>
        <w:tc>
          <w:tcPr>
            <w:tcW w:w="861" w:type="dxa"/>
            <w:tcBorders>
              <w:top w:val="nil"/>
              <w:left w:val="nil"/>
              <w:bottom w:val="nil"/>
              <w:right w:val="nil"/>
            </w:tcBorders>
            <w:shd w:val="clear" w:color="auto" w:fill="auto"/>
            <w:noWrap/>
            <w:vAlign w:val="center"/>
            <w:hideMark/>
          </w:tcPr>
          <w:p w14:paraId="52A856C4" w14:textId="50E29956"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0.0</w:t>
            </w:r>
          </w:p>
        </w:tc>
        <w:tc>
          <w:tcPr>
            <w:tcW w:w="861" w:type="dxa"/>
            <w:tcBorders>
              <w:top w:val="nil"/>
              <w:left w:val="dotDash" w:sz="4" w:space="0" w:color="auto"/>
              <w:bottom w:val="nil"/>
              <w:right w:val="nil"/>
            </w:tcBorders>
            <w:shd w:val="clear" w:color="auto" w:fill="auto"/>
            <w:noWrap/>
            <w:vAlign w:val="center"/>
            <w:hideMark/>
          </w:tcPr>
          <w:p w14:paraId="1F15703A" w14:textId="39BB5CC6"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0.0</w:t>
            </w:r>
          </w:p>
        </w:tc>
        <w:tc>
          <w:tcPr>
            <w:tcW w:w="941" w:type="dxa"/>
            <w:tcBorders>
              <w:top w:val="nil"/>
              <w:left w:val="nil"/>
              <w:bottom w:val="nil"/>
              <w:right w:val="nil"/>
            </w:tcBorders>
            <w:shd w:val="clear" w:color="auto" w:fill="auto"/>
            <w:noWrap/>
            <w:vAlign w:val="center"/>
            <w:hideMark/>
          </w:tcPr>
          <w:p w14:paraId="147F1E71" w14:textId="15B2351C"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0.0</w:t>
            </w:r>
          </w:p>
        </w:tc>
      </w:tr>
      <w:tr w:rsidR="004E0B1B" w:rsidRPr="004D429B" w14:paraId="2C6A1243"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C89A45D" w14:textId="77777777" w:rsidR="004E0B1B" w:rsidRPr="004D429B" w:rsidRDefault="004E0B1B" w:rsidP="004E0B1B">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Incurrimiento neto de pasivos</w:t>
            </w:r>
          </w:p>
        </w:tc>
        <w:tc>
          <w:tcPr>
            <w:tcW w:w="861" w:type="dxa"/>
            <w:tcBorders>
              <w:top w:val="nil"/>
              <w:left w:val="nil"/>
              <w:bottom w:val="nil"/>
              <w:right w:val="nil"/>
            </w:tcBorders>
            <w:shd w:val="clear" w:color="auto" w:fill="auto"/>
            <w:noWrap/>
            <w:vAlign w:val="center"/>
            <w:hideMark/>
          </w:tcPr>
          <w:p w14:paraId="37735D2D" w14:textId="19BD842D"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11,779.8</w:t>
            </w:r>
          </w:p>
        </w:tc>
        <w:tc>
          <w:tcPr>
            <w:tcW w:w="861" w:type="dxa"/>
            <w:tcBorders>
              <w:top w:val="nil"/>
              <w:left w:val="nil"/>
              <w:bottom w:val="nil"/>
              <w:right w:val="nil"/>
            </w:tcBorders>
            <w:shd w:val="clear" w:color="auto" w:fill="auto"/>
            <w:noWrap/>
            <w:vAlign w:val="center"/>
            <w:hideMark/>
          </w:tcPr>
          <w:p w14:paraId="5FCA5592" w14:textId="6FA7E84E"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5,234.2</w:t>
            </w:r>
          </w:p>
        </w:tc>
        <w:tc>
          <w:tcPr>
            <w:tcW w:w="861" w:type="dxa"/>
            <w:tcBorders>
              <w:top w:val="nil"/>
              <w:left w:val="dotDash" w:sz="4" w:space="0" w:color="auto"/>
              <w:bottom w:val="nil"/>
              <w:right w:val="nil"/>
            </w:tcBorders>
            <w:shd w:val="clear" w:color="auto" w:fill="auto"/>
            <w:noWrap/>
            <w:vAlign w:val="center"/>
            <w:hideMark/>
          </w:tcPr>
          <w:p w14:paraId="7041B427" w14:textId="552025D9"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-6,545.5</w:t>
            </w:r>
          </w:p>
        </w:tc>
        <w:tc>
          <w:tcPr>
            <w:tcW w:w="941" w:type="dxa"/>
            <w:tcBorders>
              <w:top w:val="nil"/>
              <w:left w:val="nil"/>
              <w:bottom w:val="nil"/>
              <w:right w:val="nil"/>
            </w:tcBorders>
            <w:shd w:val="clear" w:color="auto" w:fill="auto"/>
            <w:noWrap/>
            <w:vAlign w:val="center"/>
            <w:hideMark/>
          </w:tcPr>
          <w:p w14:paraId="23A92E83" w14:textId="61D37A49"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-55.6</w:t>
            </w:r>
          </w:p>
        </w:tc>
      </w:tr>
      <w:tr w:rsidR="004E0B1B" w:rsidRPr="004D429B" w14:paraId="105BB5D5"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7C4B506E"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Títulos de deuda</w:t>
            </w:r>
          </w:p>
        </w:tc>
        <w:tc>
          <w:tcPr>
            <w:tcW w:w="861" w:type="dxa"/>
            <w:tcBorders>
              <w:top w:val="nil"/>
              <w:left w:val="nil"/>
              <w:bottom w:val="nil"/>
              <w:right w:val="nil"/>
            </w:tcBorders>
            <w:shd w:val="clear" w:color="auto" w:fill="auto"/>
            <w:noWrap/>
            <w:vAlign w:val="center"/>
            <w:hideMark/>
          </w:tcPr>
          <w:p w14:paraId="70597FB9" w14:textId="740B023C"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13,447.9</w:t>
            </w:r>
          </w:p>
        </w:tc>
        <w:tc>
          <w:tcPr>
            <w:tcW w:w="861" w:type="dxa"/>
            <w:tcBorders>
              <w:top w:val="nil"/>
              <w:left w:val="nil"/>
              <w:bottom w:val="nil"/>
              <w:right w:val="nil"/>
            </w:tcBorders>
            <w:shd w:val="clear" w:color="auto" w:fill="auto"/>
            <w:noWrap/>
            <w:vAlign w:val="center"/>
            <w:hideMark/>
          </w:tcPr>
          <w:p w14:paraId="3485CE79" w14:textId="6D41F355"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6,307.1</w:t>
            </w:r>
          </w:p>
        </w:tc>
        <w:tc>
          <w:tcPr>
            <w:tcW w:w="861" w:type="dxa"/>
            <w:tcBorders>
              <w:top w:val="nil"/>
              <w:left w:val="dotDash" w:sz="4" w:space="0" w:color="auto"/>
              <w:bottom w:val="nil"/>
              <w:right w:val="nil"/>
            </w:tcBorders>
            <w:shd w:val="clear" w:color="auto" w:fill="auto"/>
            <w:noWrap/>
            <w:vAlign w:val="center"/>
            <w:hideMark/>
          </w:tcPr>
          <w:p w14:paraId="0C4ED1F3" w14:textId="0AB2167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-7,140.8</w:t>
            </w:r>
          </w:p>
        </w:tc>
        <w:tc>
          <w:tcPr>
            <w:tcW w:w="941" w:type="dxa"/>
            <w:tcBorders>
              <w:top w:val="nil"/>
              <w:left w:val="nil"/>
              <w:bottom w:val="nil"/>
              <w:right w:val="nil"/>
            </w:tcBorders>
            <w:shd w:val="clear" w:color="auto" w:fill="auto"/>
            <w:noWrap/>
            <w:vAlign w:val="center"/>
            <w:hideMark/>
          </w:tcPr>
          <w:p w14:paraId="46D91086" w14:textId="2D87EA8F"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-53.1</w:t>
            </w:r>
          </w:p>
        </w:tc>
      </w:tr>
      <w:tr w:rsidR="004E0B1B" w:rsidRPr="004D429B" w14:paraId="0146A179"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295B54FE"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2FD858FC" w14:textId="3782800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-1,226.0</w:t>
            </w:r>
          </w:p>
        </w:tc>
        <w:tc>
          <w:tcPr>
            <w:tcW w:w="861" w:type="dxa"/>
            <w:tcBorders>
              <w:top w:val="nil"/>
              <w:left w:val="nil"/>
              <w:bottom w:val="nil"/>
              <w:right w:val="nil"/>
            </w:tcBorders>
            <w:shd w:val="clear" w:color="auto" w:fill="auto"/>
            <w:noWrap/>
            <w:vAlign w:val="center"/>
            <w:hideMark/>
          </w:tcPr>
          <w:p w14:paraId="19DA84AE" w14:textId="4FA9642D"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-1,086.3</w:t>
            </w:r>
          </w:p>
        </w:tc>
        <w:tc>
          <w:tcPr>
            <w:tcW w:w="861" w:type="dxa"/>
            <w:tcBorders>
              <w:top w:val="nil"/>
              <w:left w:val="dotDash" w:sz="4" w:space="0" w:color="auto"/>
              <w:bottom w:val="nil"/>
              <w:right w:val="nil"/>
            </w:tcBorders>
            <w:shd w:val="clear" w:color="auto" w:fill="auto"/>
            <w:noWrap/>
            <w:vAlign w:val="center"/>
            <w:hideMark/>
          </w:tcPr>
          <w:p w14:paraId="6F20C579" w14:textId="1175F506"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139.7</w:t>
            </w:r>
          </w:p>
        </w:tc>
        <w:tc>
          <w:tcPr>
            <w:tcW w:w="941" w:type="dxa"/>
            <w:tcBorders>
              <w:top w:val="nil"/>
              <w:left w:val="nil"/>
              <w:bottom w:val="nil"/>
              <w:right w:val="nil"/>
            </w:tcBorders>
            <w:shd w:val="clear" w:color="auto" w:fill="auto"/>
            <w:noWrap/>
            <w:vAlign w:val="center"/>
            <w:hideMark/>
          </w:tcPr>
          <w:p w14:paraId="5744B0FC" w14:textId="0DCBC85B"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-11.4</w:t>
            </w:r>
          </w:p>
        </w:tc>
      </w:tr>
      <w:tr w:rsidR="004E0B1B" w:rsidRPr="004D429B" w14:paraId="53DE527D"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0DAD3DFB" w14:textId="77777777" w:rsidR="004E0B1B" w:rsidRPr="004D429B" w:rsidRDefault="004E0B1B" w:rsidP="004E0B1B">
            <w:pPr>
              <w:ind w:firstLineChars="100" w:firstLine="160"/>
              <w:jc w:val="left"/>
              <w:rPr>
                <w:rFonts w:eastAsia="Times New Roman" w:cs="Times New Roman"/>
                <w:color w:val="000000"/>
                <w:sz w:val="16"/>
                <w:szCs w:val="16"/>
                <w:lang w:eastAsia="es-GT"/>
              </w:rPr>
            </w:pPr>
            <w:r w:rsidRPr="004D429B">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A2F814E" w14:textId="5EDBFFE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-442.1</w:t>
            </w:r>
          </w:p>
        </w:tc>
        <w:tc>
          <w:tcPr>
            <w:tcW w:w="861" w:type="dxa"/>
            <w:tcBorders>
              <w:top w:val="nil"/>
              <w:left w:val="nil"/>
              <w:bottom w:val="nil"/>
              <w:right w:val="nil"/>
            </w:tcBorders>
            <w:shd w:val="clear" w:color="auto" w:fill="auto"/>
            <w:noWrap/>
            <w:vAlign w:val="center"/>
            <w:hideMark/>
          </w:tcPr>
          <w:p w14:paraId="1B805861" w14:textId="15C9ADC1"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13.4</w:t>
            </w:r>
          </w:p>
        </w:tc>
        <w:tc>
          <w:tcPr>
            <w:tcW w:w="861" w:type="dxa"/>
            <w:tcBorders>
              <w:top w:val="nil"/>
              <w:left w:val="dotDash" w:sz="4" w:space="0" w:color="auto"/>
              <w:bottom w:val="nil"/>
              <w:right w:val="nil"/>
            </w:tcBorders>
            <w:shd w:val="clear" w:color="auto" w:fill="auto"/>
            <w:noWrap/>
            <w:vAlign w:val="center"/>
            <w:hideMark/>
          </w:tcPr>
          <w:p w14:paraId="25CB4487" w14:textId="3B46FB02"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455.6</w:t>
            </w:r>
          </w:p>
        </w:tc>
        <w:tc>
          <w:tcPr>
            <w:tcW w:w="941" w:type="dxa"/>
            <w:tcBorders>
              <w:top w:val="nil"/>
              <w:left w:val="nil"/>
              <w:bottom w:val="nil"/>
              <w:right w:val="nil"/>
            </w:tcBorders>
            <w:shd w:val="clear" w:color="auto" w:fill="auto"/>
            <w:noWrap/>
            <w:vAlign w:val="center"/>
            <w:hideMark/>
          </w:tcPr>
          <w:p w14:paraId="0210A6DE" w14:textId="1A2CE6A0" w:rsidR="004E0B1B" w:rsidRPr="004E0B1B" w:rsidRDefault="004E0B1B" w:rsidP="004E0B1B">
            <w:pPr>
              <w:jc w:val="center"/>
              <w:rPr>
                <w:rFonts w:eastAsia="Times New Roman" w:cs="Times New Roman"/>
                <w:color w:val="000000"/>
                <w:sz w:val="16"/>
                <w:szCs w:val="16"/>
                <w:lang w:eastAsia="es-GT"/>
              </w:rPr>
            </w:pPr>
            <w:r w:rsidRPr="004E0B1B">
              <w:rPr>
                <w:color w:val="000000"/>
                <w:sz w:val="16"/>
                <w:szCs w:val="16"/>
              </w:rPr>
              <w:t>-103.0</w:t>
            </w:r>
          </w:p>
        </w:tc>
      </w:tr>
      <w:tr w:rsidR="004E0B1B" w:rsidRPr="004D429B" w14:paraId="2B640124" w14:textId="77777777" w:rsidTr="008D3ED7">
        <w:trPr>
          <w:trHeight w:val="252"/>
          <w:jc w:val="center"/>
        </w:trPr>
        <w:tc>
          <w:tcPr>
            <w:tcW w:w="3164" w:type="dxa"/>
            <w:tcBorders>
              <w:top w:val="nil"/>
              <w:left w:val="nil"/>
              <w:bottom w:val="nil"/>
              <w:right w:val="nil"/>
            </w:tcBorders>
            <w:shd w:val="clear" w:color="auto" w:fill="auto"/>
            <w:noWrap/>
            <w:vAlign w:val="center"/>
            <w:hideMark/>
          </w:tcPr>
          <w:p w14:paraId="130F55F7" w14:textId="77777777" w:rsidR="004E0B1B" w:rsidRPr="004D429B" w:rsidRDefault="004E0B1B" w:rsidP="004E0B1B">
            <w:pPr>
              <w:rPr>
                <w:rFonts w:eastAsia="Times New Roman" w:cs="Times New Roman"/>
                <w:b/>
                <w:bCs/>
                <w:color w:val="000000"/>
                <w:sz w:val="16"/>
                <w:szCs w:val="16"/>
                <w:lang w:eastAsia="es-GT"/>
              </w:rPr>
            </w:pPr>
            <w:r w:rsidRPr="004D429B">
              <w:rPr>
                <w:rFonts w:eastAsia="Times New Roman" w:cs="Times New Roman"/>
                <w:b/>
                <w:bCs/>
                <w:color w:val="000000"/>
                <w:sz w:val="16"/>
                <w:szCs w:val="16"/>
                <w:lang w:eastAsia="es-GT"/>
              </w:rPr>
              <w:t>Discrepancia estadística global</w:t>
            </w:r>
          </w:p>
        </w:tc>
        <w:tc>
          <w:tcPr>
            <w:tcW w:w="861" w:type="dxa"/>
            <w:tcBorders>
              <w:top w:val="nil"/>
              <w:left w:val="nil"/>
              <w:bottom w:val="nil"/>
              <w:right w:val="nil"/>
            </w:tcBorders>
            <w:shd w:val="clear" w:color="auto" w:fill="auto"/>
            <w:noWrap/>
            <w:vAlign w:val="center"/>
            <w:hideMark/>
          </w:tcPr>
          <w:p w14:paraId="4E6192F6" w14:textId="388379FA"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712.8</w:t>
            </w:r>
          </w:p>
        </w:tc>
        <w:tc>
          <w:tcPr>
            <w:tcW w:w="861" w:type="dxa"/>
            <w:tcBorders>
              <w:top w:val="nil"/>
              <w:left w:val="nil"/>
              <w:bottom w:val="nil"/>
              <w:right w:val="nil"/>
            </w:tcBorders>
            <w:shd w:val="clear" w:color="auto" w:fill="auto"/>
            <w:noWrap/>
            <w:vAlign w:val="center"/>
            <w:hideMark/>
          </w:tcPr>
          <w:p w14:paraId="104FC3FB" w14:textId="2A0D3F61"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-4,934.2</w:t>
            </w:r>
          </w:p>
        </w:tc>
        <w:tc>
          <w:tcPr>
            <w:tcW w:w="861" w:type="dxa"/>
            <w:tcBorders>
              <w:top w:val="nil"/>
              <w:left w:val="dotDash" w:sz="4" w:space="0" w:color="auto"/>
              <w:bottom w:val="nil"/>
              <w:right w:val="nil"/>
            </w:tcBorders>
            <w:shd w:val="clear" w:color="auto" w:fill="auto"/>
            <w:noWrap/>
            <w:vAlign w:val="center"/>
            <w:hideMark/>
          </w:tcPr>
          <w:p w14:paraId="5F1E3B24" w14:textId="5006114D"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-5,647.1</w:t>
            </w:r>
          </w:p>
        </w:tc>
        <w:tc>
          <w:tcPr>
            <w:tcW w:w="941" w:type="dxa"/>
            <w:tcBorders>
              <w:top w:val="nil"/>
              <w:left w:val="nil"/>
              <w:bottom w:val="nil"/>
              <w:right w:val="nil"/>
            </w:tcBorders>
            <w:shd w:val="clear" w:color="auto" w:fill="auto"/>
            <w:noWrap/>
            <w:vAlign w:val="center"/>
            <w:hideMark/>
          </w:tcPr>
          <w:p w14:paraId="25CFAE72" w14:textId="116EBD33" w:rsidR="004E0B1B" w:rsidRPr="004E0B1B" w:rsidRDefault="004E0B1B" w:rsidP="004E0B1B">
            <w:pPr>
              <w:jc w:val="center"/>
              <w:rPr>
                <w:rFonts w:eastAsia="Times New Roman" w:cs="Times New Roman"/>
                <w:b/>
                <w:bCs/>
                <w:color w:val="000000"/>
                <w:sz w:val="16"/>
                <w:szCs w:val="16"/>
                <w:lang w:eastAsia="es-GT"/>
              </w:rPr>
            </w:pPr>
            <w:r w:rsidRPr="004E0B1B">
              <w:rPr>
                <w:b/>
                <w:bCs/>
                <w:color w:val="000000"/>
                <w:sz w:val="16"/>
                <w:szCs w:val="16"/>
              </w:rPr>
              <w:t>-792.2</w:t>
            </w:r>
          </w:p>
        </w:tc>
      </w:tr>
    </w:tbl>
    <w:p w14:paraId="3350F89B" w14:textId="024BF8C9" w:rsidR="003C303F" w:rsidRPr="00DB556E" w:rsidRDefault="003C303F" w:rsidP="007105EE">
      <w:pPr>
        <w:ind w:left="1134"/>
        <w:rPr>
          <w:rFonts w:cs="Times New Roman"/>
          <w:sz w:val="16"/>
          <w:szCs w:val="22"/>
          <w:lang w:val="es-MX"/>
        </w:rPr>
      </w:pPr>
      <w:r w:rsidRPr="00DB556E">
        <w:rPr>
          <w:rFonts w:cs="Times New Roman"/>
          <w:sz w:val="16"/>
          <w:szCs w:val="22"/>
          <w:lang w:val="es-MX"/>
        </w:rPr>
        <w:t>*Cifras preliminares</w:t>
      </w:r>
    </w:p>
    <w:p w14:paraId="445E1632" w14:textId="77777777" w:rsidR="003C303F" w:rsidRDefault="003C303F" w:rsidP="007105EE">
      <w:pPr>
        <w:ind w:left="1134"/>
        <w:rPr>
          <w:rFonts w:cs="Times New Roman"/>
          <w:sz w:val="16"/>
          <w:szCs w:val="22"/>
          <w:lang w:val="es-MX"/>
        </w:rPr>
      </w:pPr>
      <w:r w:rsidRPr="00DB556E">
        <w:rPr>
          <w:rFonts w:cs="Times New Roman"/>
          <w:sz w:val="16"/>
          <w:szCs w:val="22"/>
          <w:lang w:val="es-MX"/>
        </w:rPr>
        <w:t>Fuente: MINFIN</w:t>
      </w:r>
    </w:p>
    <w:p w14:paraId="6886455E" w14:textId="77777777" w:rsidR="006939D7" w:rsidRPr="00BF230D" w:rsidRDefault="006939D7" w:rsidP="007105EE">
      <w:pPr>
        <w:ind w:left="1134"/>
        <w:rPr>
          <w:rFonts w:cs="Times New Roman"/>
          <w:sz w:val="16"/>
          <w:szCs w:val="22"/>
          <w:lang w:val="es-MX"/>
        </w:rPr>
      </w:pPr>
    </w:p>
    <w:sectPr w:rsidR="006939D7" w:rsidRPr="00BF230D" w:rsidSect="00D319A6">
      <w:type w:val="continuous"/>
      <w:pgSz w:w="12240" w:h="15840" w:code="1"/>
      <w:pgMar w:top="1418" w:right="1418" w:bottom="1418"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8A7A" w14:textId="77777777" w:rsidR="00DE6FC4" w:rsidRDefault="00DE6FC4" w:rsidP="000B5E1C">
      <w:r>
        <w:separator/>
      </w:r>
    </w:p>
  </w:endnote>
  <w:endnote w:type="continuationSeparator" w:id="0">
    <w:p w14:paraId="47007EF1" w14:textId="77777777" w:rsidR="00DE6FC4" w:rsidRDefault="00DE6FC4" w:rsidP="000B5E1C">
      <w:r>
        <w:continuationSeparator/>
      </w:r>
    </w:p>
  </w:endnote>
  <w:endnote w:type="continuationNotice" w:id="1">
    <w:p w14:paraId="61CFB647" w14:textId="77777777" w:rsidR="00DE6FC4" w:rsidRDefault="00DE6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Content>
      <w:p w14:paraId="040AFEF9" w14:textId="77777777"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1BB64"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4A5583" w:rsidRPr="004A5583">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4E4454A" w14:textId="28B1E195" w:rsidR="000A5B5B" w:rsidRPr="00D5619D" w:rsidRDefault="000A5B5B" w:rsidP="003813F7">
    <w:pPr>
      <w:pStyle w:val="Piedepgina"/>
      <w:tabs>
        <w:tab w:val="clear" w:pos="8838"/>
        <w:tab w:val="left" w:pos="5173"/>
      </w:tabs>
      <w:rPr>
        <w:rFonts w:cs="Times New Roman"/>
        <w:i/>
        <w:color w:val="1F497D" w:themeColor="text2"/>
      </w:rPr>
    </w:pPr>
    <w:r w:rsidRPr="00D5619D">
      <w:rPr>
        <w:rFonts w:cs="Times New Roman"/>
        <w:i/>
        <w:color w:val="1F497D" w:themeColor="text2"/>
      </w:rPr>
      <w:t>Informe d</w:t>
    </w:r>
    <w:r>
      <w:rPr>
        <w:rFonts w:cs="Times New Roman"/>
        <w:i/>
        <w:color w:val="1F497D" w:themeColor="text2"/>
      </w:rPr>
      <w:t xml:space="preserve">e las Finanzas Públicas - </w:t>
    </w:r>
    <w:r w:rsidR="000D34A3">
      <w:rPr>
        <w:rFonts w:cs="Times New Roman"/>
        <w:i/>
        <w:color w:val="1F497D" w:themeColor="text2"/>
      </w:rPr>
      <w:t>Segundo</w:t>
    </w:r>
    <w:r>
      <w:rPr>
        <w:rFonts w:cs="Times New Roman"/>
        <w:i/>
        <w:color w:val="1F497D" w:themeColor="text2"/>
      </w:rPr>
      <w:t xml:space="preserve"> Trimestre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AF1"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46B44"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3FC5B" w14:textId="77777777" w:rsidR="00DE6FC4" w:rsidRDefault="00DE6FC4" w:rsidP="000B5E1C">
      <w:r>
        <w:separator/>
      </w:r>
    </w:p>
  </w:footnote>
  <w:footnote w:type="continuationSeparator" w:id="0">
    <w:p w14:paraId="5616FB33" w14:textId="77777777" w:rsidR="00DE6FC4" w:rsidRDefault="00DE6FC4" w:rsidP="000B5E1C">
      <w:r>
        <w:continuationSeparator/>
      </w:r>
    </w:p>
  </w:footnote>
  <w:footnote w:type="continuationNotice" w:id="1">
    <w:p w14:paraId="54D0B052" w14:textId="77777777" w:rsidR="00DE6FC4" w:rsidRDefault="00DE6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14C" w14:textId="77777777" w:rsidR="000A5B5B" w:rsidRPr="00AC45C7" w:rsidRDefault="000A5B5B" w:rsidP="00AC45C7">
    <w:pPr>
      <w:pStyle w:val="Encabezado"/>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5677A061">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D8AD1"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" fillcolor="#8aabd3 [2132]" strokeweight="2pt">
              <v:fill color2="#f2f2f2 [3052]" rotate="t" angle="90" colors="0 #9ab5e4;50463f #c2d1ed;58327f #e1e8f5;64881f #f2f2f2" focus="100%" type="gradient">
                <o:fill v:ext="view" type="gradientUnscaled"/>
              </v:fill>
            </v:rect>
          </w:pict>
        </mc:Fallback>
      </mc:AlternateContent>
    </w:r>
    <w:r w:rsidRPr="002E105E">
      <w:rPr>
        <w:noProof/>
        <w:sz w:val="20"/>
        <w:lang w:eastAsia="es-GT"/>
      </w:rPr>
      <w:drawing>
        <wp:anchor distT="0" distB="0" distL="114300" distR="114300" simplePos="0" relativeHeight="251660290" behindDoc="1" locked="1" layoutInCell="1" allowOverlap="1" wp14:anchorId="2B23BD24" wp14:editId="5AC8EE41">
          <wp:simplePos x="0" y="0"/>
          <wp:positionH relativeFrom="column">
            <wp:posOffset>-635</wp:posOffset>
          </wp:positionH>
          <wp:positionV relativeFrom="page">
            <wp:posOffset>10795</wp:posOffset>
          </wp:positionV>
          <wp:extent cx="1097280" cy="875030"/>
          <wp:effectExtent l="0" t="0" r="7620" b="1270"/>
          <wp:wrapNone/>
          <wp:docPr id="16" name="Picture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5"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09728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674F" w14:textId="77777777"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0"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5183813">
    <w:abstractNumId w:val="26"/>
  </w:num>
  <w:num w:numId="2" w16cid:durableId="807363469">
    <w:abstractNumId w:val="24"/>
  </w:num>
  <w:num w:numId="3" w16cid:durableId="88159740">
    <w:abstractNumId w:val="13"/>
  </w:num>
  <w:num w:numId="4" w16cid:durableId="199628997">
    <w:abstractNumId w:val="12"/>
  </w:num>
  <w:num w:numId="5" w16cid:durableId="2110468299">
    <w:abstractNumId w:val="30"/>
  </w:num>
  <w:num w:numId="6" w16cid:durableId="1213158544">
    <w:abstractNumId w:val="41"/>
  </w:num>
  <w:num w:numId="7" w16cid:durableId="1525095484">
    <w:abstractNumId w:val="31"/>
  </w:num>
  <w:num w:numId="8" w16cid:durableId="345602063">
    <w:abstractNumId w:val="4"/>
  </w:num>
  <w:num w:numId="9" w16cid:durableId="1334189890">
    <w:abstractNumId w:val="3"/>
  </w:num>
  <w:num w:numId="10" w16cid:durableId="1809391688">
    <w:abstractNumId w:val="19"/>
  </w:num>
  <w:num w:numId="11" w16cid:durableId="1107197304">
    <w:abstractNumId w:val="20"/>
  </w:num>
  <w:num w:numId="12" w16cid:durableId="1479611259">
    <w:abstractNumId w:val="23"/>
  </w:num>
  <w:num w:numId="13" w16cid:durableId="501703968">
    <w:abstractNumId w:val="32"/>
  </w:num>
  <w:num w:numId="14" w16cid:durableId="973558336">
    <w:abstractNumId w:val="27"/>
  </w:num>
  <w:num w:numId="15" w16cid:durableId="213278161">
    <w:abstractNumId w:val="7"/>
  </w:num>
  <w:num w:numId="16" w16cid:durableId="135684944">
    <w:abstractNumId w:val="0"/>
  </w:num>
  <w:num w:numId="17" w16cid:durableId="871963882">
    <w:abstractNumId w:val="17"/>
  </w:num>
  <w:num w:numId="18" w16cid:durableId="513425715">
    <w:abstractNumId w:val="22"/>
  </w:num>
  <w:num w:numId="19" w16cid:durableId="1977031478">
    <w:abstractNumId w:val="35"/>
  </w:num>
  <w:num w:numId="20" w16cid:durableId="550921069">
    <w:abstractNumId w:val="16"/>
  </w:num>
  <w:num w:numId="21" w16cid:durableId="1077634224">
    <w:abstractNumId w:val="37"/>
  </w:num>
  <w:num w:numId="22" w16cid:durableId="752707343">
    <w:abstractNumId w:val="39"/>
  </w:num>
  <w:num w:numId="23" w16cid:durableId="1450591527">
    <w:abstractNumId w:val="15"/>
  </w:num>
  <w:num w:numId="24" w16cid:durableId="1062021968">
    <w:abstractNumId w:val="15"/>
  </w:num>
  <w:num w:numId="25" w16cid:durableId="325523858">
    <w:abstractNumId w:val="9"/>
  </w:num>
  <w:num w:numId="26" w16cid:durableId="766730870">
    <w:abstractNumId w:val="2"/>
  </w:num>
  <w:num w:numId="27" w16cid:durableId="1155998266">
    <w:abstractNumId w:val="36"/>
  </w:num>
  <w:num w:numId="28" w16cid:durableId="213200685">
    <w:abstractNumId w:val="10"/>
  </w:num>
  <w:num w:numId="29" w16cid:durableId="906919327">
    <w:abstractNumId w:val="14"/>
  </w:num>
  <w:num w:numId="30" w16cid:durableId="145443419">
    <w:abstractNumId w:val="40"/>
  </w:num>
  <w:num w:numId="31" w16cid:durableId="805393302">
    <w:abstractNumId w:val="1"/>
  </w:num>
  <w:num w:numId="32" w16cid:durableId="241257642">
    <w:abstractNumId w:val="34"/>
  </w:num>
  <w:num w:numId="33" w16cid:durableId="714549356">
    <w:abstractNumId w:val="42"/>
  </w:num>
  <w:num w:numId="34" w16cid:durableId="1447962893">
    <w:abstractNumId w:val="18"/>
  </w:num>
  <w:num w:numId="35" w16cid:durableId="2066372559">
    <w:abstractNumId w:val="11"/>
  </w:num>
  <w:num w:numId="36" w16cid:durableId="1416244406">
    <w:abstractNumId w:val="43"/>
  </w:num>
  <w:num w:numId="37" w16cid:durableId="699286798">
    <w:abstractNumId w:val="33"/>
  </w:num>
  <w:num w:numId="38" w16cid:durableId="1234240342">
    <w:abstractNumId w:val="21"/>
  </w:num>
  <w:num w:numId="39" w16cid:durableId="903639120">
    <w:abstractNumId w:val="29"/>
  </w:num>
  <w:num w:numId="40" w16cid:durableId="1160847745">
    <w:abstractNumId w:val="6"/>
  </w:num>
  <w:num w:numId="41" w16cid:durableId="2064602110">
    <w:abstractNumId w:val="25"/>
  </w:num>
  <w:num w:numId="42" w16cid:durableId="1479807161">
    <w:abstractNumId w:val="28"/>
  </w:num>
  <w:num w:numId="43" w16cid:durableId="2056274902">
    <w:abstractNumId w:val="8"/>
  </w:num>
  <w:num w:numId="44" w16cid:durableId="1631130847">
    <w:abstractNumId w:val="5"/>
  </w:num>
  <w:num w:numId="45" w16cid:durableId="61810020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3F6"/>
    <w:rsid w:val="0000165C"/>
    <w:rsid w:val="000019FB"/>
    <w:rsid w:val="00001B7A"/>
    <w:rsid w:val="00001ED4"/>
    <w:rsid w:val="00002881"/>
    <w:rsid w:val="000032AE"/>
    <w:rsid w:val="000038B1"/>
    <w:rsid w:val="00003BA5"/>
    <w:rsid w:val="000045FB"/>
    <w:rsid w:val="00004F16"/>
    <w:rsid w:val="00005925"/>
    <w:rsid w:val="00005EB8"/>
    <w:rsid w:val="0000665E"/>
    <w:rsid w:val="000073D2"/>
    <w:rsid w:val="00007F68"/>
    <w:rsid w:val="00010D58"/>
    <w:rsid w:val="000115A2"/>
    <w:rsid w:val="000121A8"/>
    <w:rsid w:val="00012781"/>
    <w:rsid w:val="00012ACD"/>
    <w:rsid w:val="00012FB4"/>
    <w:rsid w:val="0001329E"/>
    <w:rsid w:val="000134F1"/>
    <w:rsid w:val="00013BEC"/>
    <w:rsid w:val="00013C44"/>
    <w:rsid w:val="00013ECF"/>
    <w:rsid w:val="00013FC9"/>
    <w:rsid w:val="00014246"/>
    <w:rsid w:val="0001429E"/>
    <w:rsid w:val="00014EAD"/>
    <w:rsid w:val="00015107"/>
    <w:rsid w:val="00015370"/>
    <w:rsid w:val="00015674"/>
    <w:rsid w:val="00016805"/>
    <w:rsid w:val="00016CEF"/>
    <w:rsid w:val="00017427"/>
    <w:rsid w:val="00017D51"/>
    <w:rsid w:val="00020904"/>
    <w:rsid w:val="0002091B"/>
    <w:rsid w:val="00020D03"/>
    <w:rsid w:val="00020F69"/>
    <w:rsid w:val="000212B0"/>
    <w:rsid w:val="0002188F"/>
    <w:rsid w:val="00021FD5"/>
    <w:rsid w:val="00023745"/>
    <w:rsid w:val="000238F3"/>
    <w:rsid w:val="00023981"/>
    <w:rsid w:val="00023ADD"/>
    <w:rsid w:val="00023DC8"/>
    <w:rsid w:val="00024165"/>
    <w:rsid w:val="00024BD6"/>
    <w:rsid w:val="00024BF7"/>
    <w:rsid w:val="00024DE4"/>
    <w:rsid w:val="00024FF6"/>
    <w:rsid w:val="00025456"/>
    <w:rsid w:val="00025B90"/>
    <w:rsid w:val="0002670B"/>
    <w:rsid w:val="000267E3"/>
    <w:rsid w:val="00026985"/>
    <w:rsid w:val="00027A8F"/>
    <w:rsid w:val="00027D48"/>
    <w:rsid w:val="000306FE"/>
    <w:rsid w:val="00031937"/>
    <w:rsid w:val="00031A96"/>
    <w:rsid w:val="00032230"/>
    <w:rsid w:val="0003257D"/>
    <w:rsid w:val="000326D8"/>
    <w:rsid w:val="00032B26"/>
    <w:rsid w:val="00033312"/>
    <w:rsid w:val="00033638"/>
    <w:rsid w:val="00033A52"/>
    <w:rsid w:val="00033B15"/>
    <w:rsid w:val="00033DB1"/>
    <w:rsid w:val="000347FD"/>
    <w:rsid w:val="00035952"/>
    <w:rsid w:val="00035C14"/>
    <w:rsid w:val="00035E51"/>
    <w:rsid w:val="00036843"/>
    <w:rsid w:val="000369C8"/>
    <w:rsid w:val="000410C1"/>
    <w:rsid w:val="0004120F"/>
    <w:rsid w:val="0004212A"/>
    <w:rsid w:val="00042669"/>
    <w:rsid w:val="00042AA3"/>
    <w:rsid w:val="00043B88"/>
    <w:rsid w:val="000441F1"/>
    <w:rsid w:val="000449B7"/>
    <w:rsid w:val="00044AF8"/>
    <w:rsid w:val="000453CA"/>
    <w:rsid w:val="00045570"/>
    <w:rsid w:val="00045861"/>
    <w:rsid w:val="00045CD6"/>
    <w:rsid w:val="00046004"/>
    <w:rsid w:val="00046060"/>
    <w:rsid w:val="00046F9F"/>
    <w:rsid w:val="000476BB"/>
    <w:rsid w:val="000476F2"/>
    <w:rsid w:val="00047AF2"/>
    <w:rsid w:val="000500D6"/>
    <w:rsid w:val="00050721"/>
    <w:rsid w:val="00051734"/>
    <w:rsid w:val="00051879"/>
    <w:rsid w:val="0005215A"/>
    <w:rsid w:val="00053482"/>
    <w:rsid w:val="00053A65"/>
    <w:rsid w:val="00053AD6"/>
    <w:rsid w:val="00053DB7"/>
    <w:rsid w:val="00053F58"/>
    <w:rsid w:val="0005529E"/>
    <w:rsid w:val="00055614"/>
    <w:rsid w:val="00055925"/>
    <w:rsid w:val="00055D08"/>
    <w:rsid w:val="00055DD0"/>
    <w:rsid w:val="00056E8E"/>
    <w:rsid w:val="00057827"/>
    <w:rsid w:val="00057B7D"/>
    <w:rsid w:val="00057EB8"/>
    <w:rsid w:val="000617F8"/>
    <w:rsid w:val="00061975"/>
    <w:rsid w:val="00061E2E"/>
    <w:rsid w:val="0006231C"/>
    <w:rsid w:val="00062CBA"/>
    <w:rsid w:val="00062E16"/>
    <w:rsid w:val="00062ED8"/>
    <w:rsid w:val="00063364"/>
    <w:rsid w:val="00063373"/>
    <w:rsid w:val="00063A1D"/>
    <w:rsid w:val="00063CB5"/>
    <w:rsid w:val="000642AF"/>
    <w:rsid w:val="0006477B"/>
    <w:rsid w:val="00064BA9"/>
    <w:rsid w:val="00064EA8"/>
    <w:rsid w:val="00065259"/>
    <w:rsid w:val="00065451"/>
    <w:rsid w:val="000655A9"/>
    <w:rsid w:val="00065991"/>
    <w:rsid w:val="00065C24"/>
    <w:rsid w:val="00066095"/>
    <w:rsid w:val="00066286"/>
    <w:rsid w:val="0006680E"/>
    <w:rsid w:val="00066CD1"/>
    <w:rsid w:val="00067459"/>
    <w:rsid w:val="00067741"/>
    <w:rsid w:val="000678AC"/>
    <w:rsid w:val="00067B4A"/>
    <w:rsid w:val="00070108"/>
    <w:rsid w:val="00070552"/>
    <w:rsid w:val="000705C1"/>
    <w:rsid w:val="000706ED"/>
    <w:rsid w:val="000707A3"/>
    <w:rsid w:val="00070899"/>
    <w:rsid w:val="00070A2D"/>
    <w:rsid w:val="00071109"/>
    <w:rsid w:val="00071810"/>
    <w:rsid w:val="00071B55"/>
    <w:rsid w:val="00071CAF"/>
    <w:rsid w:val="00071DD6"/>
    <w:rsid w:val="00072136"/>
    <w:rsid w:val="00072BAA"/>
    <w:rsid w:val="00072C8D"/>
    <w:rsid w:val="0007319D"/>
    <w:rsid w:val="00073457"/>
    <w:rsid w:val="000737A4"/>
    <w:rsid w:val="000741A3"/>
    <w:rsid w:val="00074337"/>
    <w:rsid w:val="00074476"/>
    <w:rsid w:val="00074844"/>
    <w:rsid w:val="00074C38"/>
    <w:rsid w:val="00075216"/>
    <w:rsid w:val="000754D5"/>
    <w:rsid w:val="00076415"/>
    <w:rsid w:val="00077425"/>
    <w:rsid w:val="00080F11"/>
    <w:rsid w:val="00080F5E"/>
    <w:rsid w:val="00081A07"/>
    <w:rsid w:val="00082333"/>
    <w:rsid w:val="000823E4"/>
    <w:rsid w:val="0008278D"/>
    <w:rsid w:val="00082E65"/>
    <w:rsid w:val="00083239"/>
    <w:rsid w:val="000836FF"/>
    <w:rsid w:val="0008380C"/>
    <w:rsid w:val="00083DEF"/>
    <w:rsid w:val="000846BE"/>
    <w:rsid w:val="00084748"/>
    <w:rsid w:val="000852BF"/>
    <w:rsid w:val="000853F6"/>
    <w:rsid w:val="000858E9"/>
    <w:rsid w:val="00085E1C"/>
    <w:rsid w:val="0008619F"/>
    <w:rsid w:val="000865AA"/>
    <w:rsid w:val="00086C6E"/>
    <w:rsid w:val="00087430"/>
    <w:rsid w:val="00087551"/>
    <w:rsid w:val="0008775B"/>
    <w:rsid w:val="00087EC1"/>
    <w:rsid w:val="00087EE1"/>
    <w:rsid w:val="00087EFB"/>
    <w:rsid w:val="00090202"/>
    <w:rsid w:val="00090AF4"/>
    <w:rsid w:val="000918BC"/>
    <w:rsid w:val="00091942"/>
    <w:rsid w:val="00091A7F"/>
    <w:rsid w:val="00092A19"/>
    <w:rsid w:val="00093371"/>
    <w:rsid w:val="00093A1B"/>
    <w:rsid w:val="000944FE"/>
    <w:rsid w:val="00094A23"/>
    <w:rsid w:val="00094E26"/>
    <w:rsid w:val="0009511C"/>
    <w:rsid w:val="00095331"/>
    <w:rsid w:val="000958AF"/>
    <w:rsid w:val="00096497"/>
    <w:rsid w:val="00096FA6"/>
    <w:rsid w:val="00097862"/>
    <w:rsid w:val="00097889"/>
    <w:rsid w:val="000A1BF3"/>
    <w:rsid w:val="000A2C08"/>
    <w:rsid w:val="000A2D14"/>
    <w:rsid w:val="000A2D19"/>
    <w:rsid w:val="000A2D1D"/>
    <w:rsid w:val="000A424A"/>
    <w:rsid w:val="000A47FE"/>
    <w:rsid w:val="000A5922"/>
    <w:rsid w:val="000A5B5B"/>
    <w:rsid w:val="000A5E16"/>
    <w:rsid w:val="000A5FC5"/>
    <w:rsid w:val="000A60A1"/>
    <w:rsid w:val="000A6C8D"/>
    <w:rsid w:val="000A74BA"/>
    <w:rsid w:val="000A7E28"/>
    <w:rsid w:val="000B04CE"/>
    <w:rsid w:val="000B057B"/>
    <w:rsid w:val="000B072C"/>
    <w:rsid w:val="000B0FCB"/>
    <w:rsid w:val="000B12F0"/>
    <w:rsid w:val="000B1376"/>
    <w:rsid w:val="000B1C5F"/>
    <w:rsid w:val="000B1E68"/>
    <w:rsid w:val="000B20C3"/>
    <w:rsid w:val="000B2992"/>
    <w:rsid w:val="000B29FE"/>
    <w:rsid w:val="000B2E7A"/>
    <w:rsid w:val="000B346C"/>
    <w:rsid w:val="000B404E"/>
    <w:rsid w:val="000B4083"/>
    <w:rsid w:val="000B4154"/>
    <w:rsid w:val="000B46D9"/>
    <w:rsid w:val="000B4929"/>
    <w:rsid w:val="000B4A3D"/>
    <w:rsid w:val="000B5075"/>
    <w:rsid w:val="000B5CD0"/>
    <w:rsid w:val="000B5E1C"/>
    <w:rsid w:val="000B6143"/>
    <w:rsid w:val="000B6B1B"/>
    <w:rsid w:val="000B76E1"/>
    <w:rsid w:val="000B778D"/>
    <w:rsid w:val="000C0470"/>
    <w:rsid w:val="000C070B"/>
    <w:rsid w:val="000C10D5"/>
    <w:rsid w:val="000C18E5"/>
    <w:rsid w:val="000C1B89"/>
    <w:rsid w:val="000C1CC5"/>
    <w:rsid w:val="000C1F8D"/>
    <w:rsid w:val="000C20CC"/>
    <w:rsid w:val="000C25EB"/>
    <w:rsid w:val="000C27C6"/>
    <w:rsid w:val="000C283B"/>
    <w:rsid w:val="000C3476"/>
    <w:rsid w:val="000C3496"/>
    <w:rsid w:val="000C3E95"/>
    <w:rsid w:val="000C487F"/>
    <w:rsid w:val="000C4AD1"/>
    <w:rsid w:val="000C51BD"/>
    <w:rsid w:val="000C5320"/>
    <w:rsid w:val="000C54D3"/>
    <w:rsid w:val="000C5BA6"/>
    <w:rsid w:val="000C5BDD"/>
    <w:rsid w:val="000C7076"/>
    <w:rsid w:val="000C795B"/>
    <w:rsid w:val="000C7961"/>
    <w:rsid w:val="000C7E9B"/>
    <w:rsid w:val="000D0188"/>
    <w:rsid w:val="000D1059"/>
    <w:rsid w:val="000D15A1"/>
    <w:rsid w:val="000D17AF"/>
    <w:rsid w:val="000D2677"/>
    <w:rsid w:val="000D2952"/>
    <w:rsid w:val="000D29F4"/>
    <w:rsid w:val="000D2CF4"/>
    <w:rsid w:val="000D2D05"/>
    <w:rsid w:val="000D2DE9"/>
    <w:rsid w:val="000D2DF6"/>
    <w:rsid w:val="000D2F4D"/>
    <w:rsid w:val="000D34A3"/>
    <w:rsid w:val="000D3566"/>
    <w:rsid w:val="000D365F"/>
    <w:rsid w:val="000D4B4D"/>
    <w:rsid w:val="000D4B80"/>
    <w:rsid w:val="000D4BC3"/>
    <w:rsid w:val="000D4CB3"/>
    <w:rsid w:val="000D57BA"/>
    <w:rsid w:val="000D58D6"/>
    <w:rsid w:val="000D5BE8"/>
    <w:rsid w:val="000D734F"/>
    <w:rsid w:val="000D7477"/>
    <w:rsid w:val="000D7805"/>
    <w:rsid w:val="000D7EEB"/>
    <w:rsid w:val="000E058F"/>
    <w:rsid w:val="000E08B2"/>
    <w:rsid w:val="000E0DAA"/>
    <w:rsid w:val="000E0E1E"/>
    <w:rsid w:val="000E0F3C"/>
    <w:rsid w:val="000E1495"/>
    <w:rsid w:val="000E193E"/>
    <w:rsid w:val="000E3036"/>
    <w:rsid w:val="000E3B60"/>
    <w:rsid w:val="000E3BAE"/>
    <w:rsid w:val="000E3E7A"/>
    <w:rsid w:val="000E488C"/>
    <w:rsid w:val="000E4E2E"/>
    <w:rsid w:val="000E51BC"/>
    <w:rsid w:val="000E56E2"/>
    <w:rsid w:val="000E5739"/>
    <w:rsid w:val="000E5997"/>
    <w:rsid w:val="000E5A40"/>
    <w:rsid w:val="000E5CCD"/>
    <w:rsid w:val="000E5D0D"/>
    <w:rsid w:val="000E60F8"/>
    <w:rsid w:val="000E6989"/>
    <w:rsid w:val="000E7209"/>
    <w:rsid w:val="000E7387"/>
    <w:rsid w:val="000E79A8"/>
    <w:rsid w:val="000E7AE8"/>
    <w:rsid w:val="000F049B"/>
    <w:rsid w:val="000F058D"/>
    <w:rsid w:val="000F0DA3"/>
    <w:rsid w:val="000F1214"/>
    <w:rsid w:val="000F19C1"/>
    <w:rsid w:val="000F2939"/>
    <w:rsid w:val="000F2D5F"/>
    <w:rsid w:val="000F3450"/>
    <w:rsid w:val="000F3942"/>
    <w:rsid w:val="000F3AC7"/>
    <w:rsid w:val="000F41CA"/>
    <w:rsid w:val="000F45C8"/>
    <w:rsid w:val="000F4B0C"/>
    <w:rsid w:val="000F4F51"/>
    <w:rsid w:val="000F5067"/>
    <w:rsid w:val="000F53ED"/>
    <w:rsid w:val="000F55E5"/>
    <w:rsid w:val="000F62DA"/>
    <w:rsid w:val="000F7C74"/>
    <w:rsid w:val="001009C9"/>
    <w:rsid w:val="00100D98"/>
    <w:rsid w:val="00100FAB"/>
    <w:rsid w:val="001012BA"/>
    <w:rsid w:val="001016EC"/>
    <w:rsid w:val="00101A90"/>
    <w:rsid w:val="00101FE5"/>
    <w:rsid w:val="0010220A"/>
    <w:rsid w:val="00102276"/>
    <w:rsid w:val="001023B3"/>
    <w:rsid w:val="001030E8"/>
    <w:rsid w:val="00103354"/>
    <w:rsid w:val="00103E94"/>
    <w:rsid w:val="00103FCC"/>
    <w:rsid w:val="001043AB"/>
    <w:rsid w:val="001057E4"/>
    <w:rsid w:val="00105C3B"/>
    <w:rsid w:val="00105EBF"/>
    <w:rsid w:val="001068D2"/>
    <w:rsid w:val="0010690C"/>
    <w:rsid w:val="00106959"/>
    <w:rsid w:val="00106B8A"/>
    <w:rsid w:val="00106E19"/>
    <w:rsid w:val="00106EF4"/>
    <w:rsid w:val="0010734F"/>
    <w:rsid w:val="00107432"/>
    <w:rsid w:val="00107A66"/>
    <w:rsid w:val="00107D8A"/>
    <w:rsid w:val="001100B3"/>
    <w:rsid w:val="00110318"/>
    <w:rsid w:val="001107CB"/>
    <w:rsid w:val="001111A3"/>
    <w:rsid w:val="00111626"/>
    <w:rsid w:val="00111D58"/>
    <w:rsid w:val="00112008"/>
    <w:rsid w:val="00112A52"/>
    <w:rsid w:val="00112EB2"/>
    <w:rsid w:val="00113A1E"/>
    <w:rsid w:val="00113D53"/>
    <w:rsid w:val="00114083"/>
    <w:rsid w:val="0011428C"/>
    <w:rsid w:val="0011429F"/>
    <w:rsid w:val="001142BF"/>
    <w:rsid w:val="00114548"/>
    <w:rsid w:val="00114555"/>
    <w:rsid w:val="001147A1"/>
    <w:rsid w:val="00115772"/>
    <w:rsid w:val="00115AE0"/>
    <w:rsid w:val="00116127"/>
    <w:rsid w:val="00116A12"/>
    <w:rsid w:val="00117AC8"/>
    <w:rsid w:val="001209E8"/>
    <w:rsid w:val="00120BFC"/>
    <w:rsid w:val="00120FEC"/>
    <w:rsid w:val="00121349"/>
    <w:rsid w:val="001214B6"/>
    <w:rsid w:val="00121649"/>
    <w:rsid w:val="00121A26"/>
    <w:rsid w:val="00122981"/>
    <w:rsid w:val="00122F2F"/>
    <w:rsid w:val="00122FDE"/>
    <w:rsid w:val="0012357F"/>
    <w:rsid w:val="00123CB6"/>
    <w:rsid w:val="00125827"/>
    <w:rsid w:val="0012656D"/>
    <w:rsid w:val="00126E0E"/>
    <w:rsid w:val="00126FD5"/>
    <w:rsid w:val="0012763E"/>
    <w:rsid w:val="001276C3"/>
    <w:rsid w:val="0012782F"/>
    <w:rsid w:val="0012783A"/>
    <w:rsid w:val="00127FBD"/>
    <w:rsid w:val="00130BCE"/>
    <w:rsid w:val="001313C1"/>
    <w:rsid w:val="00131669"/>
    <w:rsid w:val="00131ABF"/>
    <w:rsid w:val="00131D6C"/>
    <w:rsid w:val="00131D79"/>
    <w:rsid w:val="001323BD"/>
    <w:rsid w:val="00132DC4"/>
    <w:rsid w:val="00133083"/>
    <w:rsid w:val="0013422C"/>
    <w:rsid w:val="00134770"/>
    <w:rsid w:val="0013499D"/>
    <w:rsid w:val="00135143"/>
    <w:rsid w:val="00135308"/>
    <w:rsid w:val="001359D4"/>
    <w:rsid w:val="00135FB7"/>
    <w:rsid w:val="0013608E"/>
    <w:rsid w:val="00136243"/>
    <w:rsid w:val="00136F6F"/>
    <w:rsid w:val="001375AC"/>
    <w:rsid w:val="001401B1"/>
    <w:rsid w:val="001408F3"/>
    <w:rsid w:val="00141216"/>
    <w:rsid w:val="0014145A"/>
    <w:rsid w:val="00141467"/>
    <w:rsid w:val="0014161C"/>
    <w:rsid w:val="00141D10"/>
    <w:rsid w:val="00143578"/>
    <w:rsid w:val="001440DB"/>
    <w:rsid w:val="00144962"/>
    <w:rsid w:val="00144D8F"/>
    <w:rsid w:val="00145AE6"/>
    <w:rsid w:val="0014637C"/>
    <w:rsid w:val="00146B11"/>
    <w:rsid w:val="00146C6D"/>
    <w:rsid w:val="00146E1A"/>
    <w:rsid w:val="001470BF"/>
    <w:rsid w:val="0014747D"/>
    <w:rsid w:val="001479E4"/>
    <w:rsid w:val="00147A6B"/>
    <w:rsid w:val="00147BFA"/>
    <w:rsid w:val="00147D82"/>
    <w:rsid w:val="001500AB"/>
    <w:rsid w:val="001504EE"/>
    <w:rsid w:val="00150748"/>
    <w:rsid w:val="00151A60"/>
    <w:rsid w:val="0015220B"/>
    <w:rsid w:val="00152237"/>
    <w:rsid w:val="0015275F"/>
    <w:rsid w:val="00152BD7"/>
    <w:rsid w:val="00153096"/>
    <w:rsid w:val="00153921"/>
    <w:rsid w:val="00153B8C"/>
    <w:rsid w:val="00153D01"/>
    <w:rsid w:val="00154995"/>
    <w:rsid w:val="00154AFD"/>
    <w:rsid w:val="0015532C"/>
    <w:rsid w:val="001559F9"/>
    <w:rsid w:val="00155DDA"/>
    <w:rsid w:val="001565F1"/>
    <w:rsid w:val="001574E6"/>
    <w:rsid w:val="00157E39"/>
    <w:rsid w:val="0016015D"/>
    <w:rsid w:val="001604DC"/>
    <w:rsid w:val="001604E9"/>
    <w:rsid w:val="001605C0"/>
    <w:rsid w:val="00160BA5"/>
    <w:rsid w:val="001610AF"/>
    <w:rsid w:val="0016130F"/>
    <w:rsid w:val="001613DC"/>
    <w:rsid w:val="001614F2"/>
    <w:rsid w:val="001623FA"/>
    <w:rsid w:val="0016259E"/>
    <w:rsid w:val="001628C8"/>
    <w:rsid w:val="00162970"/>
    <w:rsid w:val="0016346E"/>
    <w:rsid w:val="00163B12"/>
    <w:rsid w:val="00163DED"/>
    <w:rsid w:val="0016414B"/>
    <w:rsid w:val="00164250"/>
    <w:rsid w:val="00164331"/>
    <w:rsid w:val="001650AC"/>
    <w:rsid w:val="0016510F"/>
    <w:rsid w:val="00165BF3"/>
    <w:rsid w:val="00165C20"/>
    <w:rsid w:val="00166CE0"/>
    <w:rsid w:val="00166E43"/>
    <w:rsid w:val="00166FAB"/>
    <w:rsid w:val="001672FB"/>
    <w:rsid w:val="001674F6"/>
    <w:rsid w:val="00167B5B"/>
    <w:rsid w:val="00167C01"/>
    <w:rsid w:val="001701AC"/>
    <w:rsid w:val="001703DF"/>
    <w:rsid w:val="0017086E"/>
    <w:rsid w:val="001708EB"/>
    <w:rsid w:val="00170F9B"/>
    <w:rsid w:val="001718B6"/>
    <w:rsid w:val="00173633"/>
    <w:rsid w:val="00173790"/>
    <w:rsid w:val="00173979"/>
    <w:rsid w:val="00174404"/>
    <w:rsid w:val="00175199"/>
    <w:rsid w:val="001756B6"/>
    <w:rsid w:val="00175DBD"/>
    <w:rsid w:val="001765BE"/>
    <w:rsid w:val="00176A38"/>
    <w:rsid w:val="00177A7B"/>
    <w:rsid w:val="00180370"/>
    <w:rsid w:val="00180579"/>
    <w:rsid w:val="0018117D"/>
    <w:rsid w:val="00181854"/>
    <w:rsid w:val="00181AC7"/>
    <w:rsid w:val="00181E8C"/>
    <w:rsid w:val="001822D3"/>
    <w:rsid w:val="00182971"/>
    <w:rsid w:val="00182B79"/>
    <w:rsid w:val="00182E81"/>
    <w:rsid w:val="001832CB"/>
    <w:rsid w:val="001838CB"/>
    <w:rsid w:val="00183D01"/>
    <w:rsid w:val="00183EF6"/>
    <w:rsid w:val="00184554"/>
    <w:rsid w:val="001846A0"/>
    <w:rsid w:val="00184930"/>
    <w:rsid w:val="00185191"/>
    <w:rsid w:val="001864AB"/>
    <w:rsid w:val="00186ACF"/>
    <w:rsid w:val="00186F1E"/>
    <w:rsid w:val="00190258"/>
    <w:rsid w:val="001906F4"/>
    <w:rsid w:val="00190C51"/>
    <w:rsid w:val="00190FE8"/>
    <w:rsid w:val="00191BA7"/>
    <w:rsid w:val="0019223F"/>
    <w:rsid w:val="00192264"/>
    <w:rsid w:val="001927C6"/>
    <w:rsid w:val="001932CF"/>
    <w:rsid w:val="00193413"/>
    <w:rsid w:val="00193495"/>
    <w:rsid w:val="00193510"/>
    <w:rsid w:val="00193923"/>
    <w:rsid w:val="00193B3F"/>
    <w:rsid w:val="00193F01"/>
    <w:rsid w:val="00196269"/>
    <w:rsid w:val="00196296"/>
    <w:rsid w:val="001965C3"/>
    <w:rsid w:val="0019663D"/>
    <w:rsid w:val="00196B0B"/>
    <w:rsid w:val="00197385"/>
    <w:rsid w:val="00197631"/>
    <w:rsid w:val="001979A1"/>
    <w:rsid w:val="001A0005"/>
    <w:rsid w:val="001A00C9"/>
    <w:rsid w:val="001A022D"/>
    <w:rsid w:val="001A16C4"/>
    <w:rsid w:val="001A1804"/>
    <w:rsid w:val="001A1D21"/>
    <w:rsid w:val="001A1E5E"/>
    <w:rsid w:val="001A20FB"/>
    <w:rsid w:val="001A2E9A"/>
    <w:rsid w:val="001A2EF4"/>
    <w:rsid w:val="001A30CA"/>
    <w:rsid w:val="001A3807"/>
    <w:rsid w:val="001A3DAA"/>
    <w:rsid w:val="001A4726"/>
    <w:rsid w:val="001A47B1"/>
    <w:rsid w:val="001A4D7B"/>
    <w:rsid w:val="001A5253"/>
    <w:rsid w:val="001A5694"/>
    <w:rsid w:val="001A683F"/>
    <w:rsid w:val="001A708A"/>
    <w:rsid w:val="001A70BA"/>
    <w:rsid w:val="001A7138"/>
    <w:rsid w:val="001A7605"/>
    <w:rsid w:val="001A76BF"/>
    <w:rsid w:val="001A7B54"/>
    <w:rsid w:val="001A7B66"/>
    <w:rsid w:val="001B0B04"/>
    <w:rsid w:val="001B0E2C"/>
    <w:rsid w:val="001B1571"/>
    <w:rsid w:val="001B1821"/>
    <w:rsid w:val="001B1E40"/>
    <w:rsid w:val="001B21B7"/>
    <w:rsid w:val="001B285E"/>
    <w:rsid w:val="001B2897"/>
    <w:rsid w:val="001B2958"/>
    <w:rsid w:val="001B29CF"/>
    <w:rsid w:val="001B2B19"/>
    <w:rsid w:val="001B2CE4"/>
    <w:rsid w:val="001B2E72"/>
    <w:rsid w:val="001B3A8F"/>
    <w:rsid w:val="001B3C43"/>
    <w:rsid w:val="001B3FE3"/>
    <w:rsid w:val="001B423D"/>
    <w:rsid w:val="001B4D15"/>
    <w:rsid w:val="001B55B2"/>
    <w:rsid w:val="001B61DF"/>
    <w:rsid w:val="001B631F"/>
    <w:rsid w:val="001B65C3"/>
    <w:rsid w:val="001B6A91"/>
    <w:rsid w:val="001B6D43"/>
    <w:rsid w:val="001B71EE"/>
    <w:rsid w:val="001B7969"/>
    <w:rsid w:val="001B7BC8"/>
    <w:rsid w:val="001C0194"/>
    <w:rsid w:val="001C0450"/>
    <w:rsid w:val="001C19CB"/>
    <w:rsid w:val="001C1B0B"/>
    <w:rsid w:val="001C1F0C"/>
    <w:rsid w:val="001C29A0"/>
    <w:rsid w:val="001C2DA4"/>
    <w:rsid w:val="001C2E49"/>
    <w:rsid w:val="001C336B"/>
    <w:rsid w:val="001C34B5"/>
    <w:rsid w:val="001C3932"/>
    <w:rsid w:val="001C3AE9"/>
    <w:rsid w:val="001C3CED"/>
    <w:rsid w:val="001C3E21"/>
    <w:rsid w:val="001C4E87"/>
    <w:rsid w:val="001C508F"/>
    <w:rsid w:val="001C5217"/>
    <w:rsid w:val="001C55F6"/>
    <w:rsid w:val="001C5F1C"/>
    <w:rsid w:val="001C6301"/>
    <w:rsid w:val="001C677D"/>
    <w:rsid w:val="001C7576"/>
    <w:rsid w:val="001C788D"/>
    <w:rsid w:val="001D0130"/>
    <w:rsid w:val="001D016C"/>
    <w:rsid w:val="001D10C0"/>
    <w:rsid w:val="001D1179"/>
    <w:rsid w:val="001D17CB"/>
    <w:rsid w:val="001D1A94"/>
    <w:rsid w:val="001D1C90"/>
    <w:rsid w:val="001D1C9B"/>
    <w:rsid w:val="001D1D27"/>
    <w:rsid w:val="001D2C47"/>
    <w:rsid w:val="001D37C1"/>
    <w:rsid w:val="001D41AC"/>
    <w:rsid w:val="001D47C7"/>
    <w:rsid w:val="001D4B18"/>
    <w:rsid w:val="001D54E4"/>
    <w:rsid w:val="001D708B"/>
    <w:rsid w:val="001D73AE"/>
    <w:rsid w:val="001E06F3"/>
    <w:rsid w:val="001E0870"/>
    <w:rsid w:val="001E0EF9"/>
    <w:rsid w:val="001E130A"/>
    <w:rsid w:val="001E13D9"/>
    <w:rsid w:val="001E1AAB"/>
    <w:rsid w:val="001E2C3C"/>
    <w:rsid w:val="001E3041"/>
    <w:rsid w:val="001E331B"/>
    <w:rsid w:val="001E40E6"/>
    <w:rsid w:val="001E4277"/>
    <w:rsid w:val="001E4671"/>
    <w:rsid w:val="001E4C34"/>
    <w:rsid w:val="001E4D39"/>
    <w:rsid w:val="001E4E3D"/>
    <w:rsid w:val="001E5588"/>
    <w:rsid w:val="001E5D28"/>
    <w:rsid w:val="001E62DA"/>
    <w:rsid w:val="001E7182"/>
    <w:rsid w:val="001E71BF"/>
    <w:rsid w:val="001E7E64"/>
    <w:rsid w:val="001F07B8"/>
    <w:rsid w:val="001F135F"/>
    <w:rsid w:val="001F144F"/>
    <w:rsid w:val="001F1968"/>
    <w:rsid w:val="001F1AB6"/>
    <w:rsid w:val="001F1BB6"/>
    <w:rsid w:val="001F2354"/>
    <w:rsid w:val="001F25FC"/>
    <w:rsid w:val="001F2E5B"/>
    <w:rsid w:val="001F3125"/>
    <w:rsid w:val="001F3668"/>
    <w:rsid w:val="001F3B9A"/>
    <w:rsid w:val="001F3D1E"/>
    <w:rsid w:val="001F43AE"/>
    <w:rsid w:val="001F488D"/>
    <w:rsid w:val="001F4E44"/>
    <w:rsid w:val="001F5147"/>
    <w:rsid w:val="001F5A10"/>
    <w:rsid w:val="001F66A7"/>
    <w:rsid w:val="001F67A2"/>
    <w:rsid w:val="001F7025"/>
    <w:rsid w:val="001F7159"/>
    <w:rsid w:val="001F71DC"/>
    <w:rsid w:val="001F7309"/>
    <w:rsid w:val="001F742E"/>
    <w:rsid w:val="001F795A"/>
    <w:rsid w:val="00200099"/>
    <w:rsid w:val="002005A3"/>
    <w:rsid w:val="002005AD"/>
    <w:rsid w:val="002006B9"/>
    <w:rsid w:val="0020110D"/>
    <w:rsid w:val="00201159"/>
    <w:rsid w:val="002018EA"/>
    <w:rsid w:val="00201941"/>
    <w:rsid w:val="0020195F"/>
    <w:rsid w:val="002019BE"/>
    <w:rsid w:val="002019FF"/>
    <w:rsid w:val="00201C51"/>
    <w:rsid w:val="00201CD8"/>
    <w:rsid w:val="0020227E"/>
    <w:rsid w:val="00203326"/>
    <w:rsid w:val="00203672"/>
    <w:rsid w:val="002043B3"/>
    <w:rsid w:val="00204580"/>
    <w:rsid w:val="002049C5"/>
    <w:rsid w:val="00205055"/>
    <w:rsid w:val="00205BCA"/>
    <w:rsid w:val="0020607F"/>
    <w:rsid w:val="00206BA3"/>
    <w:rsid w:val="00206DBE"/>
    <w:rsid w:val="0020712A"/>
    <w:rsid w:val="002072B5"/>
    <w:rsid w:val="00210490"/>
    <w:rsid w:val="00210ABD"/>
    <w:rsid w:val="00210CD5"/>
    <w:rsid w:val="00211AE8"/>
    <w:rsid w:val="0021268B"/>
    <w:rsid w:val="002131CF"/>
    <w:rsid w:val="002131FE"/>
    <w:rsid w:val="00213435"/>
    <w:rsid w:val="0021423B"/>
    <w:rsid w:val="002147BD"/>
    <w:rsid w:val="00214947"/>
    <w:rsid w:val="00215937"/>
    <w:rsid w:val="00216846"/>
    <w:rsid w:val="0021699A"/>
    <w:rsid w:val="00216CDE"/>
    <w:rsid w:val="00216D1A"/>
    <w:rsid w:val="00216FC2"/>
    <w:rsid w:val="002171B6"/>
    <w:rsid w:val="0021724C"/>
    <w:rsid w:val="002174ED"/>
    <w:rsid w:val="00217A54"/>
    <w:rsid w:val="00217D1E"/>
    <w:rsid w:val="00220281"/>
    <w:rsid w:val="0022065E"/>
    <w:rsid w:val="00220900"/>
    <w:rsid w:val="00222047"/>
    <w:rsid w:val="00222182"/>
    <w:rsid w:val="00222586"/>
    <w:rsid w:val="00222AA5"/>
    <w:rsid w:val="0022319A"/>
    <w:rsid w:val="002240B7"/>
    <w:rsid w:val="00225339"/>
    <w:rsid w:val="00225A9A"/>
    <w:rsid w:val="00225C31"/>
    <w:rsid w:val="002272A3"/>
    <w:rsid w:val="00230328"/>
    <w:rsid w:val="002303FC"/>
    <w:rsid w:val="0023095F"/>
    <w:rsid w:val="00230F64"/>
    <w:rsid w:val="00230F8E"/>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37978"/>
    <w:rsid w:val="002400B8"/>
    <w:rsid w:val="00240382"/>
    <w:rsid w:val="00240BCF"/>
    <w:rsid w:val="00241428"/>
    <w:rsid w:val="00241496"/>
    <w:rsid w:val="002415CC"/>
    <w:rsid w:val="00241721"/>
    <w:rsid w:val="00241AC2"/>
    <w:rsid w:val="00241DF5"/>
    <w:rsid w:val="00242D1F"/>
    <w:rsid w:val="00242F33"/>
    <w:rsid w:val="00243641"/>
    <w:rsid w:val="00243DA8"/>
    <w:rsid w:val="0024408C"/>
    <w:rsid w:val="002440D9"/>
    <w:rsid w:val="00244A1B"/>
    <w:rsid w:val="002451BB"/>
    <w:rsid w:val="002453DC"/>
    <w:rsid w:val="002455E0"/>
    <w:rsid w:val="002457E2"/>
    <w:rsid w:val="00245D53"/>
    <w:rsid w:val="00245F2A"/>
    <w:rsid w:val="00246818"/>
    <w:rsid w:val="00246F23"/>
    <w:rsid w:val="002470D4"/>
    <w:rsid w:val="002471A8"/>
    <w:rsid w:val="00250228"/>
    <w:rsid w:val="002505AC"/>
    <w:rsid w:val="002509DF"/>
    <w:rsid w:val="00250EA9"/>
    <w:rsid w:val="00250FD6"/>
    <w:rsid w:val="0025123E"/>
    <w:rsid w:val="0025138D"/>
    <w:rsid w:val="0025146C"/>
    <w:rsid w:val="00251A72"/>
    <w:rsid w:val="00251F21"/>
    <w:rsid w:val="00252321"/>
    <w:rsid w:val="00252357"/>
    <w:rsid w:val="00252883"/>
    <w:rsid w:val="002528E3"/>
    <w:rsid w:val="00252AFC"/>
    <w:rsid w:val="00252B1C"/>
    <w:rsid w:val="00253322"/>
    <w:rsid w:val="00253436"/>
    <w:rsid w:val="00253C9B"/>
    <w:rsid w:val="00253CD8"/>
    <w:rsid w:val="0025508B"/>
    <w:rsid w:val="002551BA"/>
    <w:rsid w:val="00255FBE"/>
    <w:rsid w:val="002566E6"/>
    <w:rsid w:val="002569AC"/>
    <w:rsid w:val="002575D9"/>
    <w:rsid w:val="00260DF8"/>
    <w:rsid w:val="0026147D"/>
    <w:rsid w:val="00261B47"/>
    <w:rsid w:val="00261BEE"/>
    <w:rsid w:val="00261DEB"/>
    <w:rsid w:val="002628E1"/>
    <w:rsid w:val="00262E84"/>
    <w:rsid w:val="002630A4"/>
    <w:rsid w:val="002634CC"/>
    <w:rsid w:val="00263E10"/>
    <w:rsid w:val="00263E7C"/>
    <w:rsid w:val="00264074"/>
    <w:rsid w:val="002645AE"/>
    <w:rsid w:val="00264727"/>
    <w:rsid w:val="002647BF"/>
    <w:rsid w:val="00264A75"/>
    <w:rsid w:val="00264DDD"/>
    <w:rsid w:val="00264E6D"/>
    <w:rsid w:val="00266132"/>
    <w:rsid w:val="0026632E"/>
    <w:rsid w:val="002663D9"/>
    <w:rsid w:val="00266606"/>
    <w:rsid w:val="002666B9"/>
    <w:rsid w:val="00267193"/>
    <w:rsid w:val="00267786"/>
    <w:rsid w:val="00267974"/>
    <w:rsid w:val="0026799E"/>
    <w:rsid w:val="002700BC"/>
    <w:rsid w:val="002706F9"/>
    <w:rsid w:val="002710C2"/>
    <w:rsid w:val="00271377"/>
    <w:rsid w:val="00271558"/>
    <w:rsid w:val="00272ED5"/>
    <w:rsid w:val="00273108"/>
    <w:rsid w:val="002736D5"/>
    <w:rsid w:val="0027445C"/>
    <w:rsid w:val="0027513B"/>
    <w:rsid w:val="00275731"/>
    <w:rsid w:val="00275E3C"/>
    <w:rsid w:val="002760BC"/>
    <w:rsid w:val="0027627E"/>
    <w:rsid w:val="00276BE8"/>
    <w:rsid w:val="00276CEB"/>
    <w:rsid w:val="0027790A"/>
    <w:rsid w:val="0028022D"/>
    <w:rsid w:val="002808AA"/>
    <w:rsid w:val="002809B2"/>
    <w:rsid w:val="00280D80"/>
    <w:rsid w:val="002813A3"/>
    <w:rsid w:val="002813C1"/>
    <w:rsid w:val="0028215F"/>
    <w:rsid w:val="00282253"/>
    <w:rsid w:val="002824AC"/>
    <w:rsid w:val="0028273D"/>
    <w:rsid w:val="0028289F"/>
    <w:rsid w:val="0028329E"/>
    <w:rsid w:val="0028395D"/>
    <w:rsid w:val="0028426F"/>
    <w:rsid w:val="00284EDF"/>
    <w:rsid w:val="00284EEB"/>
    <w:rsid w:val="0028513C"/>
    <w:rsid w:val="002851AE"/>
    <w:rsid w:val="00286016"/>
    <w:rsid w:val="002860D8"/>
    <w:rsid w:val="002863BF"/>
    <w:rsid w:val="00286939"/>
    <w:rsid w:val="00286B2D"/>
    <w:rsid w:val="00286D97"/>
    <w:rsid w:val="0028717E"/>
    <w:rsid w:val="00287315"/>
    <w:rsid w:val="0029071C"/>
    <w:rsid w:val="0029099A"/>
    <w:rsid w:val="0029111B"/>
    <w:rsid w:val="00291993"/>
    <w:rsid w:val="00292383"/>
    <w:rsid w:val="00292CFB"/>
    <w:rsid w:val="00293196"/>
    <w:rsid w:val="002939FA"/>
    <w:rsid w:val="002948C9"/>
    <w:rsid w:val="00294990"/>
    <w:rsid w:val="00294A65"/>
    <w:rsid w:val="00294F15"/>
    <w:rsid w:val="00295600"/>
    <w:rsid w:val="002968B3"/>
    <w:rsid w:val="002968F0"/>
    <w:rsid w:val="00296DF9"/>
    <w:rsid w:val="00296E13"/>
    <w:rsid w:val="00297B84"/>
    <w:rsid w:val="00297EA1"/>
    <w:rsid w:val="002A01D5"/>
    <w:rsid w:val="002A052B"/>
    <w:rsid w:val="002A06CC"/>
    <w:rsid w:val="002A0AB8"/>
    <w:rsid w:val="002A0E66"/>
    <w:rsid w:val="002A26FE"/>
    <w:rsid w:val="002A3AA8"/>
    <w:rsid w:val="002A5BBD"/>
    <w:rsid w:val="002A60BD"/>
    <w:rsid w:val="002A6112"/>
    <w:rsid w:val="002A6968"/>
    <w:rsid w:val="002A6C69"/>
    <w:rsid w:val="002B07C9"/>
    <w:rsid w:val="002B0811"/>
    <w:rsid w:val="002B0AEE"/>
    <w:rsid w:val="002B209D"/>
    <w:rsid w:val="002B2273"/>
    <w:rsid w:val="002B2594"/>
    <w:rsid w:val="002B2B84"/>
    <w:rsid w:val="002B2D17"/>
    <w:rsid w:val="002B4EDF"/>
    <w:rsid w:val="002B4F4E"/>
    <w:rsid w:val="002B5BDD"/>
    <w:rsid w:val="002B5C31"/>
    <w:rsid w:val="002B5F1D"/>
    <w:rsid w:val="002B6246"/>
    <w:rsid w:val="002B6254"/>
    <w:rsid w:val="002B650E"/>
    <w:rsid w:val="002B69F7"/>
    <w:rsid w:val="002B6CF8"/>
    <w:rsid w:val="002B716A"/>
    <w:rsid w:val="002B762F"/>
    <w:rsid w:val="002B7857"/>
    <w:rsid w:val="002B7931"/>
    <w:rsid w:val="002B7AC2"/>
    <w:rsid w:val="002C0E86"/>
    <w:rsid w:val="002C0FC5"/>
    <w:rsid w:val="002C1DC7"/>
    <w:rsid w:val="002C2027"/>
    <w:rsid w:val="002C2A89"/>
    <w:rsid w:val="002C33C1"/>
    <w:rsid w:val="002C3498"/>
    <w:rsid w:val="002C3671"/>
    <w:rsid w:val="002C3755"/>
    <w:rsid w:val="002C4AFB"/>
    <w:rsid w:val="002C53CC"/>
    <w:rsid w:val="002C54CB"/>
    <w:rsid w:val="002C5875"/>
    <w:rsid w:val="002C5A51"/>
    <w:rsid w:val="002C64A2"/>
    <w:rsid w:val="002C66E8"/>
    <w:rsid w:val="002C76BD"/>
    <w:rsid w:val="002C7FB8"/>
    <w:rsid w:val="002D02BD"/>
    <w:rsid w:val="002D03CF"/>
    <w:rsid w:val="002D05A5"/>
    <w:rsid w:val="002D0BE6"/>
    <w:rsid w:val="002D1182"/>
    <w:rsid w:val="002D1469"/>
    <w:rsid w:val="002D1632"/>
    <w:rsid w:val="002D1930"/>
    <w:rsid w:val="002D1DB8"/>
    <w:rsid w:val="002D1E9B"/>
    <w:rsid w:val="002D32C9"/>
    <w:rsid w:val="002D3612"/>
    <w:rsid w:val="002D4A52"/>
    <w:rsid w:val="002D4A5A"/>
    <w:rsid w:val="002D4AEA"/>
    <w:rsid w:val="002D5151"/>
    <w:rsid w:val="002D5DEA"/>
    <w:rsid w:val="002D5E21"/>
    <w:rsid w:val="002D72BD"/>
    <w:rsid w:val="002D7A60"/>
    <w:rsid w:val="002D7AF6"/>
    <w:rsid w:val="002E0416"/>
    <w:rsid w:val="002E0465"/>
    <w:rsid w:val="002E0A4A"/>
    <w:rsid w:val="002E1015"/>
    <w:rsid w:val="002E109C"/>
    <w:rsid w:val="002E1903"/>
    <w:rsid w:val="002E19AD"/>
    <w:rsid w:val="002E1E22"/>
    <w:rsid w:val="002E2176"/>
    <w:rsid w:val="002E2221"/>
    <w:rsid w:val="002E2298"/>
    <w:rsid w:val="002E2437"/>
    <w:rsid w:val="002E2464"/>
    <w:rsid w:val="002E30D7"/>
    <w:rsid w:val="002E350E"/>
    <w:rsid w:val="002E3C2D"/>
    <w:rsid w:val="002E3F7A"/>
    <w:rsid w:val="002E4264"/>
    <w:rsid w:val="002E46A5"/>
    <w:rsid w:val="002E5775"/>
    <w:rsid w:val="002E5F7F"/>
    <w:rsid w:val="002E652B"/>
    <w:rsid w:val="002E7051"/>
    <w:rsid w:val="002E7729"/>
    <w:rsid w:val="002E7C22"/>
    <w:rsid w:val="002F0480"/>
    <w:rsid w:val="002F07A8"/>
    <w:rsid w:val="002F1057"/>
    <w:rsid w:val="002F1822"/>
    <w:rsid w:val="002F1A09"/>
    <w:rsid w:val="002F2FB3"/>
    <w:rsid w:val="002F347E"/>
    <w:rsid w:val="002F3C77"/>
    <w:rsid w:val="002F3D03"/>
    <w:rsid w:val="002F4F4A"/>
    <w:rsid w:val="002F5792"/>
    <w:rsid w:val="002F618C"/>
    <w:rsid w:val="002F6611"/>
    <w:rsid w:val="002F681E"/>
    <w:rsid w:val="002F6936"/>
    <w:rsid w:val="002F6BD4"/>
    <w:rsid w:val="002F6E28"/>
    <w:rsid w:val="002F7F6F"/>
    <w:rsid w:val="003000C2"/>
    <w:rsid w:val="003001FC"/>
    <w:rsid w:val="003007BE"/>
    <w:rsid w:val="003009C9"/>
    <w:rsid w:val="00300A50"/>
    <w:rsid w:val="00300F2D"/>
    <w:rsid w:val="00301F9F"/>
    <w:rsid w:val="00302462"/>
    <w:rsid w:val="00302603"/>
    <w:rsid w:val="00302799"/>
    <w:rsid w:val="00302EF9"/>
    <w:rsid w:val="00303787"/>
    <w:rsid w:val="00303B1F"/>
    <w:rsid w:val="00304483"/>
    <w:rsid w:val="003044D2"/>
    <w:rsid w:val="00304996"/>
    <w:rsid w:val="00304B36"/>
    <w:rsid w:val="00304DA3"/>
    <w:rsid w:val="00305645"/>
    <w:rsid w:val="00305FA4"/>
    <w:rsid w:val="0030676A"/>
    <w:rsid w:val="00306802"/>
    <w:rsid w:val="00307581"/>
    <w:rsid w:val="0030772A"/>
    <w:rsid w:val="00307D21"/>
    <w:rsid w:val="00310612"/>
    <w:rsid w:val="0031062A"/>
    <w:rsid w:val="003109BC"/>
    <w:rsid w:val="00310F0E"/>
    <w:rsid w:val="00311363"/>
    <w:rsid w:val="0031152E"/>
    <w:rsid w:val="00311D47"/>
    <w:rsid w:val="00311ED5"/>
    <w:rsid w:val="003126A5"/>
    <w:rsid w:val="00313249"/>
    <w:rsid w:val="00313EDC"/>
    <w:rsid w:val="00314383"/>
    <w:rsid w:val="003143B8"/>
    <w:rsid w:val="00314AB0"/>
    <w:rsid w:val="003158EF"/>
    <w:rsid w:val="00316717"/>
    <w:rsid w:val="0031721F"/>
    <w:rsid w:val="00320840"/>
    <w:rsid w:val="00320DA0"/>
    <w:rsid w:val="0032156A"/>
    <w:rsid w:val="0032176C"/>
    <w:rsid w:val="00321B3B"/>
    <w:rsid w:val="0032216F"/>
    <w:rsid w:val="0032255F"/>
    <w:rsid w:val="003227AE"/>
    <w:rsid w:val="00323314"/>
    <w:rsid w:val="00323933"/>
    <w:rsid w:val="00323E4D"/>
    <w:rsid w:val="003241D8"/>
    <w:rsid w:val="00324705"/>
    <w:rsid w:val="00324F52"/>
    <w:rsid w:val="00324F54"/>
    <w:rsid w:val="0032588B"/>
    <w:rsid w:val="0032598F"/>
    <w:rsid w:val="00325C52"/>
    <w:rsid w:val="00325EC5"/>
    <w:rsid w:val="00326351"/>
    <w:rsid w:val="00327EE2"/>
    <w:rsid w:val="00327FA6"/>
    <w:rsid w:val="00330C82"/>
    <w:rsid w:val="003311EF"/>
    <w:rsid w:val="0033184E"/>
    <w:rsid w:val="00331A35"/>
    <w:rsid w:val="00331C19"/>
    <w:rsid w:val="00331C73"/>
    <w:rsid w:val="00332771"/>
    <w:rsid w:val="00332B04"/>
    <w:rsid w:val="00332E4E"/>
    <w:rsid w:val="00333574"/>
    <w:rsid w:val="00333809"/>
    <w:rsid w:val="00333816"/>
    <w:rsid w:val="003338F1"/>
    <w:rsid w:val="00333A07"/>
    <w:rsid w:val="00333F4D"/>
    <w:rsid w:val="0033522F"/>
    <w:rsid w:val="003359FE"/>
    <w:rsid w:val="00335AE0"/>
    <w:rsid w:val="00335BDB"/>
    <w:rsid w:val="00336927"/>
    <w:rsid w:val="00336EDF"/>
    <w:rsid w:val="00337496"/>
    <w:rsid w:val="003375C1"/>
    <w:rsid w:val="0034043A"/>
    <w:rsid w:val="00340BFE"/>
    <w:rsid w:val="00340E13"/>
    <w:rsid w:val="00341058"/>
    <w:rsid w:val="00342CC7"/>
    <w:rsid w:val="0034386E"/>
    <w:rsid w:val="00343934"/>
    <w:rsid w:val="00343A1D"/>
    <w:rsid w:val="00343A8A"/>
    <w:rsid w:val="00343F0F"/>
    <w:rsid w:val="00344278"/>
    <w:rsid w:val="003442AD"/>
    <w:rsid w:val="00344C7C"/>
    <w:rsid w:val="003455A3"/>
    <w:rsid w:val="003465C8"/>
    <w:rsid w:val="003466CC"/>
    <w:rsid w:val="00346705"/>
    <w:rsid w:val="00347243"/>
    <w:rsid w:val="00347377"/>
    <w:rsid w:val="0034753C"/>
    <w:rsid w:val="00350667"/>
    <w:rsid w:val="0035070F"/>
    <w:rsid w:val="00351EDC"/>
    <w:rsid w:val="00352045"/>
    <w:rsid w:val="00352C6C"/>
    <w:rsid w:val="00353B7E"/>
    <w:rsid w:val="00353F26"/>
    <w:rsid w:val="003541D8"/>
    <w:rsid w:val="00354481"/>
    <w:rsid w:val="0035458C"/>
    <w:rsid w:val="00354782"/>
    <w:rsid w:val="00355113"/>
    <w:rsid w:val="00355234"/>
    <w:rsid w:val="003554AC"/>
    <w:rsid w:val="00355C36"/>
    <w:rsid w:val="00356F7F"/>
    <w:rsid w:val="00357B90"/>
    <w:rsid w:val="00357F5B"/>
    <w:rsid w:val="003602DE"/>
    <w:rsid w:val="003605B6"/>
    <w:rsid w:val="00361010"/>
    <w:rsid w:val="003612E9"/>
    <w:rsid w:val="0036217B"/>
    <w:rsid w:val="00362350"/>
    <w:rsid w:val="00362357"/>
    <w:rsid w:val="00362475"/>
    <w:rsid w:val="003624FC"/>
    <w:rsid w:val="003634DA"/>
    <w:rsid w:val="0036359B"/>
    <w:rsid w:val="00363B4C"/>
    <w:rsid w:val="00364296"/>
    <w:rsid w:val="00364844"/>
    <w:rsid w:val="00364B13"/>
    <w:rsid w:val="0036526D"/>
    <w:rsid w:val="00365DDD"/>
    <w:rsid w:val="00365DF5"/>
    <w:rsid w:val="00366C94"/>
    <w:rsid w:val="00366E5D"/>
    <w:rsid w:val="00366F3F"/>
    <w:rsid w:val="00367005"/>
    <w:rsid w:val="00367118"/>
    <w:rsid w:val="003673A2"/>
    <w:rsid w:val="00370528"/>
    <w:rsid w:val="00370859"/>
    <w:rsid w:val="0037183F"/>
    <w:rsid w:val="00371944"/>
    <w:rsid w:val="00371AEC"/>
    <w:rsid w:val="0037237D"/>
    <w:rsid w:val="00372693"/>
    <w:rsid w:val="003743AA"/>
    <w:rsid w:val="00374654"/>
    <w:rsid w:val="00374C59"/>
    <w:rsid w:val="003754BA"/>
    <w:rsid w:val="00375624"/>
    <w:rsid w:val="003759A1"/>
    <w:rsid w:val="00375BE9"/>
    <w:rsid w:val="00375D21"/>
    <w:rsid w:val="00375EF5"/>
    <w:rsid w:val="003761C4"/>
    <w:rsid w:val="0037674D"/>
    <w:rsid w:val="00376852"/>
    <w:rsid w:val="00376EE6"/>
    <w:rsid w:val="00377705"/>
    <w:rsid w:val="00377A1F"/>
    <w:rsid w:val="0038019E"/>
    <w:rsid w:val="00380981"/>
    <w:rsid w:val="003813F7"/>
    <w:rsid w:val="00381684"/>
    <w:rsid w:val="00382989"/>
    <w:rsid w:val="00382B21"/>
    <w:rsid w:val="00382B46"/>
    <w:rsid w:val="003830D3"/>
    <w:rsid w:val="003831D5"/>
    <w:rsid w:val="00383208"/>
    <w:rsid w:val="003838A1"/>
    <w:rsid w:val="00383E04"/>
    <w:rsid w:val="003851C7"/>
    <w:rsid w:val="00385368"/>
    <w:rsid w:val="0038658E"/>
    <w:rsid w:val="00386BFA"/>
    <w:rsid w:val="00386DDA"/>
    <w:rsid w:val="00387A2B"/>
    <w:rsid w:val="00390300"/>
    <w:rsid w:val="00390510"/>
    <w:rsid w:val="00390BB4"/>
    <w:rsid w:val="003911A5"/>
    <w:rsid w:val="003920EF"/>
    <w:rsid w:val="00392346"/>
    <w:rsid w:val="003929E6"/>
    <w:rsid w:val="00392BBE"/>
    <w:rsid w:val="00393787"/>
    <w:rsid w:val="00393D7D"/>
    <w:rsid w:val="00393F94"/>
    <w:rsid w:val="00394899"/>
    <w:rsid w:val="0039545B"/>
    <w:rsid w:val="00395462"/>
    <w:rsid w:val="00395898"/>
    <w:rsid w:val="00395AB7"/>
    <w:rsid w:val="00395C0B"/>
    <w:rsid w:val="0039614C"/>
    <w:rsid w:val="00396168"/>
    <w:rsid w:val="00396614"/>
    <w:rsid w:val="00396E32"/>
    <w:rsid w:val="00396F2A"/>
    <w:rsid w:val="00397206"/>
    <w:rsid w:val="00397230"/>
    <w:rsid w:val="00397A1D"/>
    <w:rsid w:val="00397CEC"/>
    <w:rsid w:val="00397F09"/>
    <w:rsid w:val="003A02BE"/>
    <w:rsid w:val="003A08F6"/>
    <w:rsid w:val="003A140D"/>
    <w:rsid w:val="003A14EF"/>
    <w:rsid w:val="003A17BD"/>
    <w:rsid w:val="003A19AB"/>
    <w:rsid w:val="003A1DF7"/>
    <w:rsid w:val="003A2A84"/>
    <w:rsid w:val="003A2B85"/>
    <w:rsid w:val="003A3942"/>
    <w:rsid w:val="003A3AEC"/>
    <w:rsid w:val="003A467D"/>
    <w:rsid w:val="003A4763"/>
    <w:rsid w:val="003A57D6"/>
    <w:rsid w:val="003A5918"/>
    <w:rsid w:val="003A63A8"/>
    <w:rsid w:val="003A6C1D"/>
    <w:rsid w:val="003A75FE"/>
    <w:rsid w:val="003A78F3"/>
    <w:rsid w:val="003B0400"/>
    <w:rsid w:val="003B20FE"/>
    <w:rsid w:val="003B2441"/>
    <w:rsid w:val="003B25FA"/>
    <w:rsid w:val="003B2B5C"/>
    <w:rsid w:val="003B2F87"/>
    <w:rsid w:val="003B3287"/>
    <w:rsid w:val="003B3973"/>
    <w:rsid w:val="003B3BE5"/>
    <w:rsid w:val="003B4217"/>
    <w:rsid w:val="003B4D0B"/>
    <w:rsid w:val="003B53AC"/>
    <w:rsid w:val="003B560F"/>
    <w:rsid w:val="003B6399"/>
    <w:rsid w:val="003B671B"/>
    <w:rsid w:val="003B740C"/>
    <w:rsid w:val="003B79DC"/>
    <w:rsid w:val="003C0D6A"/>
    <w:rsid w:val="003C0D7B"/>
    <w:rsid w:val="003C0FB9"/>
    <w:rsid w:val="003C168C"/>
    <w:rsid w:val="003C209A"/>
    <w:rsid w:val="003C20E0"/>
    <w:rsid w:val="003C2DD3"/>
    <w:rsid w:val="003C303F"/>
    <w:rsid w:val="003C338B"/>
    <w:rsid w:val="003C37F1"/>
    <w:rsid w:val="003C3951"/>
    <w:rsid w:val="003C3E6F"/>
    <w:rsid w:val="003C4117"/>
    <w:rsid w:val="003C468B"/>
    <w:rsid w:val="003C4D70"/>
    <w:rsid w:val="003C51D3"/>
    <w:rsid w:val="003C5975"/>
    <w:rsid w:val="003C5B61"/>
    <w:rsid w:val="003C62F4"/>
    <w:rsid w:val="003C64FF"/>
    <w:rsid w:val="003C773C"/>
    <w:rsid w:val="003D050C"/>
    <w:rsid w:val="003D0804"/>
    <w:rsid w:val="003D0F79"/>
    <w:rsid w:val="003D0F82"/>
    <w:rsid w:val="003D0FCA"/>
    <w:rsid w:val="003D1490"/>
    <w:rsid w:val="003D155B"/>
    <w:rsid w:val="003D1BE4"/>
    <w:rsid w:val="003D1F3C"/>
    <w:rsid w:val="003D234D"/>
    <w:rsid w:val="003D28F5"/>
    <w:rsid w:val="003D2ABD"/>
    <w:rsid w:val="003D2D1B"/>
    <w:rsid w:val="003D325F"/>
    <w:rsid w:val="003D3511"/>
    <w:rsid w:val="003D403A"/>
    <w:rsid w:val="003D413C"/>
    <w:rsid w:val="003D4319"/>
    <w:rsid w:val="003D4587"/>
    <w:rsid w:val="003D48A2"/>
    <w:rsid w:val="003D5A8D"/>
    <w:rsid w:val="003D5F76"/>
    <w:rsid w:val="003D65BF"/>
    <w:rsid w:val="003D6732"/>
    <w:rsid w:val="003D6D91"/>
    <w:rsid w:val="003D7250"/>
    <w:rsid w:val="003D76EE"/>
    <w:rsid w:val="003D7B4C"/>
    <w:rsid w:val="003E0E2C"/>
    <w:rsid w:val="003E164A"/>
    <w:rsid w:val="003E1A9F"/>
    <w:rsid w:val="003E1EE8"/>
    <w:rsid w:val="003E2AD9"/>
    <w:rsid w:val="003E2DB7"/>
    <w:rsid w:val="003E32DE"/>
    <w:rsid w:val="003E3472"/>
    <w:rsid w:val="003E3E25"/>
    <w:rsid w:val="003E476E"/>
    <w:rsid w:val="003E49B2"/>
    <w:rsid w:val="003E4C9D"/>
    <w:rsid w:val="003E5859"/>
    <w:rsid w:val="003E65B3"/>
    <w:rsid w:val="003E676B"/>
    <w:rsid w:val="003E68AD"/>
    <w:rsid w:val="003E68AE"/>
    <w:rsid w:val="003E69D1"/>
    <w:rsid w:val="003E6A0B"/>
    <w:rsid w:val="003E788D"/>
    <w:rsid w:val="003E7939"/>
    <w:rsid w:val="003F0A79"/>
    <w:rsid w:val="003F1084"/>
    <w:rsid w:val="003F1414"/>
    <w:rsid w:val="003F1653"/>
    <w:rsid w:val="003F2171"/>
    <w:rsid w:val="003F27C8"/>
    <w:rsid w:val="003F28D0"/>
    <w:rsid w:val="003F2ABD"/>
    <w:rsid w:val="003F33E4"/>
    <w:rsid w:val="003F400E"/>
    <w:rsid w:val="003F40EE"/>
    <w:rsid w:val="003F4638"/>
    <w:rsid w:val="003F46D5"/>
    <w:rsid w:val="003F5196"/>
    <w:rsid w:val="003F57B2"/>
    <w:rsid w:val="003F5841"/>
    <w:rsid w:val="003F5885"/>
    <w:rsid w:val="003F5B5D"/>
    <w:rsid w:val="003F5C24"/>
    <w:rsid w:val="003F66D7"/>
    <w:rsid w:val="003F6C74"/>
    <w:rsid w:val="004007E5"/>
    <w:rsid w:val="0040274D"/>
    <w:rsid w:val="0040363B"/>
    <w:rsid w:val="0040414E"/>
    <w:rsid w:val="004045E7"/>
    <w:rsid w:val="00404BAB"/>
    <w:rsid w:val="00404F5A"/>
    <w:rsid w:val="004052A0"/>
    <w:rsid w:val="004056FD"/>
    <w:rsid w:val="00405C8E"/>
    <w:rsid w:val="00406104"/>
    <w:rsid w:val="00406A74"/>
    <w:rsid w:val="004075D9"/>
    <w:rsid w:val="00407755"/>
    <w:rsid w:val="004077AD"/>
    <w:rsid w:val="00407A1A"/>
    <w:rsid w:val="0041001E"/>
    <w:rsid w:val="00410667"/>
    <w:rsid w:val="004108BE"/>
    <w:rsid w:val="00410A50"/>
    <w:rsid w:val="00410DF4"/>
    <w:rsid w:val="00410F6A"/>
    <w:rsid w:val="004124EB"/>
    <w:rsid w:val="0041280E"/>
    <w:rsid w:val="0041288C"/>
    <w:rsid w:val="004133BB"/>
    <w:rsid w:val="00414C97"/>
    <w:rsid w:val="004154AF"/>
    <w:rsid w:val="004157B9"/>
    <w:rsid w:val="00415CAA"/>
    <w:rsid w:val="00416235"/>
    <w:rsid w:val="0041677B"/>
    <w:rsid w:val="00416C7D"/>
    <w:rsid w:val="00416DC0"/>
    <w:rsid w:val="00417111"/>
    <w:rsid w:val="00417996"/>
    <w:rsid w:val="00417DA6"/>
    <w:rsid w:val="00420177"/>
    <w:rsid w:val="004211BD"/>
    <w:rsid w:val="00421AD9"/>
    <w:rsid w:val="00422853"/>
    <w:rsid w:val="00422DD8"/>
    <w:rsid w:val="004234D4"/>
    <w:rsid w:val="00424BD7"/>
    <w:rsid w:val="00424DF0"/>
    <w:rsid w:val="0042558D"/>
    <w:rsid w:val="0042579B"/>
    <w:rsid w:val="00425C8B"/>
    <w:rsid w:val="00425F4B"/>
    <w:rsid w:val="00425F77"/>
    <w:rsid w:val="00427475"/>
    <w:rsid w:val="004279D0"/>
    <w:rsid w:val="0043002D"/>
    <w:rsid w:val="00430964"/>
    <w:rsid w:val="00430BA3"/>
    <w:rsid w:val="0043129A"/>
    <w:rsid w:val="00431A01"/>
    <w:rsid w:val="00431B05"/>
    <w:rsid w:val="0043246F"/>
    <w:rsid w:val="0043288B"/>
    <w:rsid w:val="00432E87"/>
    <w:rsid w:val="00433001"/>
    <w:rsid w:val="00433182"/>
    <w:rsid w:val="00433722"/>
    <w:rsid w:val="00434E60"/>
    <w:rsid w:val="00435292"/>
    <w:rsid w:val="0043576E"/>
    <w:rsid w:val="00435F33"/>
    <w:rsid w:val="00436102"/>
    <w:rsid w:val="00436454"/>
    <w:rsid w:val="00436764"/>
    <w:rsid w:val="0043680B"/>
    <w:rsid w:val="00436F10"/>
    <w:rsid w:val="00436F48"/>
    <w:rsid w:val="004373C4"/>
    <w:rsid w:val="004373CD"/>
    <w:rsid w:val="00437623"/>
    <w:rsid w:val="00437689"/>
    <w:rsid w:val="00437CFD"/>
    <w:rsid w:val="00437FE6"/>
    <w:rsid w:val="0044019B"/>
    <w:rsid w:val="00440298"/>
    <w:rsid w:val="004408B9"/>
    <w:rsid w:val="004419E8"/>
    <w:rsid w:val="00441B77"/>
    <w:rsid w:val="00441BDC"/>
    <w:rsid w:val="00442A6C"/>
    <w:rsid w:val="00442D18"/>
    <w:rsid w:val="00442DAB"/>
    <w:rsid w:val="00443756"/>
    <w:rsid w:val="00443BD2"/>
    <w:rsid w:val="00443E20"/>
    <w:rsid w:val="00444039"/>
    <w:rsid w:val="00444411"/>
    <w:rsid w:val="00444437"/>
    <w:rsid w:val="004447FF"/>
    <w:rsid w:val="00444BDC"/>
    <w:rsid w:val="00445193"/>
    <w:rsid w:val="004451B4"/>
    <w:rsid w:val="00445208"/>
    <w:rsid w:val="004458B3"/>
    <w:rsid w:val="00447330"/>
    <w:rsid w:val="00450CCE"/>
    <w:rsid w:val="00450EC8"/>
    <w:rsid w:val="00451681"/>
    <w:rsid w:val="00451AF6"/>
    <w:rsid w:val="0045361E"/>
    <w:rsid w:val="0045367B"/>
    <w:rsid w:val="00453A06"/>
    <w:rsid w:val="004544F8"/>
    <w:rsid w:val="00454793"/>
    <w:rsid w:val="0045490A"/>
    <w:rsid w:val="00454B88"/>
    <w:rsid w:val="00454D56"/>
    <w:rsid w:val="00454D9F"/>
    <w:rsid w:val="004550B7"/>
    <w:rsid w:val="004552FA"/>
    <w:rsid w:val="0045598B"/>
    <w:rsid w:val="00455AE9"/>
    <w:rsid w:val="00455B24"/>
    <w:rsid w:val="00455FE9"/>
    <w:rsid w:val="00456466"/>
    <w:rsid w:val="00456A81"/>
    <w:rsid w:val="00456E42"/>
    <w:rsid w:val="00457245"/>
    <w:rsid w:val="004577CB"/>
    <w:rsid w:val="00457B47"/>
    <w:rsid w:val="00457E5B"/>
    <w:rsid w:val="00457F7F"/>
    <w:rsid w:val="00460C05"/>
    <w:rsid w:val="00462865"/>
    <w:rsid w:val="0046297C"/>
    <w:rsid w:val="00462D58"/>
    <w:rsid w:val="00463382"/>
    <w:rsid w:val="00463E5D"/>
    <w:rsid w:val="00463F27"/>
    <w:rsid w:val="00464708"/>
    <w:rsid w:val="00464A19"/>
    <w:rsid w:val="00464AC9"/>
    <w:rsid w:val="00465656"/>
    <w:rsid w:val="00465802"/>
    <w:rsid w:val="00465C72"/>
    <w:rsid w:val="00465EC0"/>
    <w:rsid w:val="00465F3B"/>
    <w:rsid w:val="004666A5"/>
    <w:rsid w:val="00466884"/>
    <w:rsid w:val="00466F68"/>
    <w:rsid w:val="004671E6"/>
    <w:rsid w:val="00467B0A"/>
    <w:rsid w:val="004700A8"/>
    <w:rsid w:val="0047070E"/>
    <w:rsid w:val="00470A42"/>
    <w:rsid w:val="0047103C"/>
    <w:rsid w:val="00472A7D"/>
    <w:rsid w:val="00472FBF"/>
    <w:rsid w:val="00473867"/>
    <w:rsid w:val="004738CA"/>
    <w:rsid w:val="00473A39"/>
    <w:rsid w:val="0047416D"/>
    <w:rsid w:val="004741F9"/>
    <w:rsid w:val="004744CE"/>
    <w:rsid w:val="004746BD"/>
    <w:rsid w:val="0047471E"/>
    <w:rsid w:val="00474A5E"/>
    <w:rsid w:val="00474CD6"/>
    <w:rsid w:val="00474EF6"/>
    <w:rsid w:val="004752CA"/>
    <w:rsid w:val="00475421"/>
    <w:rsid w:val="00475BC0"/>
    <w:rsid w:val="0047603C"/>
    <w:rsid w:val="00476B36"/>
    <w:rsid w:val="004777C0"/>
    <w:rsid w:val="00477C22"/>
    <w:rsid w:val="00480624"/>
    <w:rsid w:val="00480A7B"/>
    <w:rsid w:val="004816B5"/>
    <w:rsid w:val="00481761"/>
    <w:rsid w:val="00481A30"/>
    <w:rsid w:val="00482768"/>
    <w:rsid w:val="00482A2A"/>
    <w:rsid w:val="00482B82"/>
    <w:rsid w:val="00482E8E"/>
    <w:rsid w:val="00482F3B"/>
    <w:rsid w:val="0048315E"/>
    <w:rsid w:val="00483449"/>
    <w:rsid w:val="004834DF"/>
    <w:rsid w:val="00483679"/>
    <w:rsid w:val="0048425C"/>
    <w:rsid w:val="0048450A"/>
    <w:rsid w:val="0048461D"/>
    <w:rsid w:val="00484F19"/>
    <w:rsid w:val="004859C2"/>
    <w:rsid w:val="00486D2A"/>
    <w:rsid w:val="004872F3"/>
    <w:rsid w:val="00490038"/>
    <w:rsid w:val="004903E1"/>
    <w:rsid w:val="004909CD"/>
    <w:rsid w:val="0049144D"/>
    <w:rsid w:val="00491839"/>
    <w:rsid w:val="00491A8F"/>
    <w:rsid w:val="00491CEB"/>
    <w:rsid w:val="004923A5"/>
    <w:rsid w:val="004923FA"/>
    <w:rsid w:val="00492C6B"/>
    <w:rsid w:val="00492E53"/>
    <w:rsid w:val="00493678"/>
    <w:rsid w:val="00493988"/>
    <w:rsid w:val="0049443E"/>
    <w:rsid w:val="00494972"/>
    <w:rsid w:val="004954EE"/>
    <w:rsid w:val="004954FB"/>
    <w:rsid w:val="004958AE"/>
    <w:rsid w:val="004960E0"/>
    <w:rsid w:val="0049715B"/>
    <w:rsid w:val="00497593"/>
    <w:rsid w:val="0049775B"/>
    <w:rsid w:val="00497EBD"/>
    <w:rsid w:val="004A0A73"/>
    <w:rsid w:val="004A1831"/>
    <w:rsid w:val="004A186E"/>
    <w:rsid w:val="004A1D48"/>
    <w:rsid w:val="004A1F32"/>
    <w:rsid w:val="004A23D7"/>
    <w:rsid w:val="004A3399"/>
    <w:rsid w:val="004A34FB"/>
    <w:rsid w:val="004A3B53"/>
    <w:rsid w:val="004A4153"/>
    <w:rsid w:val="004A41FC"/>
    <w:rsid w:val="004A4B00"/>
    <w:rsid w:val="004A4C5A"/>
    <w:rsid w:val="004A540A"/>
    <w:rsid w:val="004A5583"/>
    <w:rsid w:val="004A5C99"/>
    <w:rsid w:val="004A63A0"/>
    <w:rsid w:val="004A667B"/>
    <w:rsid w:val="004A66D9"/>
    <w:rsid w:val="004A79E5"/>
    <w:rsid w:val="004A7D27"/>
    <w:rsid w:val="004B07A9"/>
    <w:rsid w:val="004B101B"/>
    <w:rsid w:val="004B1304"/>
    <w:rsid w:val="004B17C8"/>
    <w:rsid w:val="004B1A95"/>
    <w:rsid w:val="004B1B2C"/>
    <w:rsid w:val="004B1C53"/>
    <w:rsid w:val="004B2730"/>
    <w:rsid w:val="004B2ACC"/>
    <w:rsid w:val="004B3B07"/>
    <w:rsid w:val="004B3F83"/>
    <w:rsid w:val="004B3F8C"/>
    <w:rsid w:val="004B42FE"/>
    <w:rsid w:val="004B4D6F"/>
    <w:rsid w:val="004B4F1A"/>
    <w:rsid w:val="004B5293"/>
    <w:rsid w:val="004B539E"/>
    <w:rsid w:val="004B5D04"/>
    <w:rsid w:val="004B6184"/>
    <w:rsid w:val="004B69BB"/>
    <w:rsid w:val="004B6DA0"/>
    <w:rsid w:val="004B6FF7"/>
    <w:rsid w:val="004B776F"/>
    <w:rsid w:val="004B7A96"/>
    <w:rsid w:val="004B7CDB"/>
    <w:rsid w:val="004C035D"/>
    <w:rsid w:val="004C0D00"/>
    <w:rsid w:val="004C0D1F"/>
    <w:rsid w:val="004C129D"/>
    <w:rsid w:val="004C12C1"/>
    <w:rsid w:val="004C1410"/>
    <w:rsid w:val="004C1ECC"/>
    <w:rsid w:val="004C2203"/>
    <w:rsid w:val="004C240D"/>
    <w:rsid w:val="004C2993"/>
    <w:rsid w:val="004C331A"/>
    <w:rsid w:val="004C3ABF"/>
    <w:rsid w:val="004C41F4"/>
    <w:rsid w:val="004C4809"/>
    <w:rsid w:val="004C4B45"/>
    <w:rsid w:val="004C4E0B"/>
    <w:rsid w:val="004C550A"/>
    <w:rsid w:val="004C57B2"/>
    <w:rsid w:val="004C5C36"/>
    <w:rsid w:val="004C6F92"/>
    <w:rsid w:val="004C73A6"/>
    <w:rsid w:val="004C7688"/>
    <w:rsid w:val="004D022B"/>
    <w:rsid w:val="004D037F"/>
    <w:rsid w:val="004D0B8E"/>
    <w:rsid w:val="004D0C94"/>
    <w:rsid w:val="004D0CA0"/>
    <w:rsid w:val="004D0EA5"/>
    <w:rsid w:val="004D24B0"/>
    <w:rsid w:val="004D281A"/>
    <w:rsid w:val="004D369F"/>
    <w:rsid w:val="004D3946"/>
    <w:rsid w:val="004D3EA8"/>
    <w:rsid w:val="004D412A"/>
    <w:rsid w:val="004D429B"/>
    <w:rsid w:val="004D535D"/>
    <w:rsid w:val="004D54C8"/>
    <w:rsid w:val="004D553D"/>
    <w:rsid w:val="004D55E5"/>
    <w:rsid w:val="004D57B2"/>
    <w:rsid w:val="004D6421"/>
    <w:rsid w:val="004D6F3B"/>
    <w:rsid w:val="004D733C"/>
    <w:rsid w:val="004D75E1"/>
    <w:rsid w:val="004D7EA7"/>
    <w:rsid w:val="004D7FB7"/>
    <w:rsid w:val="004E013E"/>
    <w:rsid w:val="004E0B10"/>
    <w:rsid w:val="004E0B1B"/>
    <w:rsid w:val="004E19CA"/>
    <w:rsid w:val="004E1ACE"/>
    <w:rsid w:val="004E1B43"/>
    <w:rsid w:val="004E2488"/>
    <w:rsid w:val="004E26E5"/>
    <w:rsid w:val="004E2C61"/>
    <w:rsid w:val="004E2EF7"/>
    <w:rsid w:val="004E33E6"/>
    <w:rsid w:val="004E3572"/>
    <w:rsid w:val="004E3871"/>
    <w:rsid w:val="004E3AAF"/>
    <w:rsid w:val="004E42E5"/>
    <w:rsid w:val="004E4830"/>
    <w:rsid w:val="004E49B9"/>
    <w:rsid w:val="004E56C2"/>
    <w:rsid w:val="004E5827"/>
    <w:rsid w:val="004E5AE1"/>
    <w:rsid w:val="004E5B3F"/>
    <w:rsid w:val="004E5CEF"/>
    <w:rsid w:val="004E6231"/>
    <w:rsid w:val="004E6284"/>
    <w:rsid w:val="004E633C"/>
    <w:rsid w:val="004E669E"/>
    <w:rsid w:val="004E66CE"/>
    <w:rsid w:val="004E6ACB"/>
    <w:rsid w:val="004E7411"/>
    <w:rsid w:val="004E7D6E"/>
    <w:rsid w:val="004E7ED3"/>
    <w:rsid w:val="004F0AD8"/>
    <w:rsid w:val="004F0C51"/>
    <w:rsid w:val="004F0D26"/>
    <w:rsid w:val="004F1203"/>
    <w:rsid w:val="004F2609"/>
    <w:rsid w:val="004F26F6"/>
    <w:rsid w:val="004F2A06"/>
    <w:rsid w:val="004F2A43"/>
    <w:rsid w:val="004F30C4"/>
    <w:rsid w:val="004F3CB5"/>
    <w:rsid w:val="004F4622"/>
    <w:rsid w:val="004F4F58"/>
    <w:rsid w:val="004F5C53"/>
    <w:rsid w:val="004F5FE0"/>
    <w:rsid w:val="004F6CEF"/>
    <w:rsid w:val="004F701C"/>
    <w:rsid w:val="004F7071"/>
    <w:rsid w:val="004F757F"/>
    <w:rsid w:val="004F75B7"/>
    <w:rsid w:val="004F7650"/>
    <w:rsid w:val="004F7BE1"/>
    <w:rsid w:val="004F7FAD"/>
    <w:rsid w:val="005000F5"/>
    <w:rsid w:val="0050050B"/>
    <w:rsid w:val="005006DF"/>
    <w:rsid w:val="00500A5D"/>
    <w:rsid w:val="0050196D"/>
    <w:rsid w:val="00501A4F"/>
    <w:rsid w:val="00501FC0"/>
    <w:rsid w:val="0050227F"/>
    <w:rsid w:val="0050240B"/>
    <w:rsid w:val="00502AB3"/>
    <w:rsid w:val="00502B4E"/>
    <w:rsid w:val="00502E91"/>
    <w:rsid w:val="0050318F"/>
    <w:rsid w:val="005035EB"/>
    <w:rsid w:val="00503ACD"/>
    <w:rsid w:val="00503E67"/>
    <w:rsid w:val="00504015"/>
    <w:rsid w:val="00504C85"/>
    <w:rsid w:val="00504F72"/>
    <w:rsid w:val="00504F82"/>
    <w:rsid w:val="005053A8"/>
    <w:rsid w:val="0050561B"/>
    <w:rsid w:val="00505912"/>
    <w:rsid w:val="00505C71"/>
    <w:rsid w:val="00505E26"/>
    <w:rsid w:val="00506324"/>
    <w:rsid w:val="0050632F"/>
    <w:rsid w:val="005070CB"/>
    <w:rsid w:val="00507168"/>
    <w:rsid w:val="0050785E"/>
    <w:rsid w:val="00510CAF"/>
    <w:rsid w:val="0051153F"/>
    <w:rsid w:val="00511624"/>
    <w:rsid w:val="00511740"/>
    <w:rsid w:val="0051181E"/>
    <w:rsid w:val="00511E22"/>
    <w:rsid w:val="00511FA4"/>
    <w:rsid w:val="00511FE6"/>
    <w:rsid w:val="00512290"/>
    <w:rsid w:val="00512366"/>
    <w:rsid w:val="0051245F"/>
    <w:rsid w:val="00513005"/>
    <w:rsid w:val="0051334E"/>
    <w:rsid w:val="00513762"/>
    <w:rsid w:val="0051376E"/>
    <w:rsid w:val="00513B56"/>
    <w:rsid w:val="0051438C"/>
    <w:rsid w:val="00514617"/>
    <w:rsid w:val="00514BDF"/>
    <w:rsid w:val="005153F9"/>
    <w:rsid w:val="005155A6"/>
    <w:rsid w:val="00515DEC"/>
    <w:rsid w:val="00516184"/>
    <w:rsid w:val="00516882"/>
    <w:rsid w:val="00516FA1"/>
    <w:rsid w:val="005176B4"/>
    <w:rsid w:val="00517DE1"/>
    <w:rsid w:val="00520458"/>
    <w:rsid w:val="0052047D"/>
    <w:rsid w:val="00520568"/>
    <w:rsid w:val="005206C5"/>
    <w:rsid w:val="005208E0"/>
    <w:rsid w:val="0052273F"/>
    <w:rsid w:val="00522CC6"/>
    <w:rsid w:val="00522E54"/>
    <w:rsid w:val="00523713"/>
    <w:rsid w:val="00523B44"/>
    <w:rsid w:val="00523F70"/>
    <w:rsid w:val="0052459C"/>
    <w:rsid w:val="005245E1"/>
    <w:rsid w:val="005248C9"/>
    <w:rsid w:val="00524FAA"/>
    <w:rsid w:val="005254D5"/>
    <w:rsid w:val="00525AB2"/>
    <w:rsid w:val="00525FA0"/>
    <w:rsid w:val="005266CF"/>
    <w:rsid w:val="005272F0"/>
    <w:rsid w:val="0053006D"/>
    <w:rsid w:val="005303B2"/>
    <w:rsid w:val="00531524"/>
    <w:rsid w:val="00531A45"/>
    <w:rsid w:val="005328E6"/>
    <w:rsid w:val="005329C2"/>
    <w:rsid w:val="005337D4"/>
    <w:rsid w:val="00533B67"/>
    <w:rsid w:val="00534328"/>
    <w:rsid w:val="00535276"/>
    <w:rsid w:val="005360E7"/>
    <w:rsid w:val="005368EC"/>
    <w:rsid w:val="00537178"/>
    <w:rsid w:val="00537655"/>
    <w:rsid w:val="00540632"/>
    <w:rsid w:val="00540B30"/>
    <w:rsid w:val="00541296"/>
    <w:rsid w:val="005414DF"/>
    <w:rsid w:val="00541A03"/>
    <w:rsid w:val="00541C38"/>
    <w:rsid w:val="00542127"/>
    <w:rsid w:val="005421CE"/>
    <w:rsid w:val="00543E0F"/>
    <w:rsid w:val="0054409D"/>
    <w:rsid w:val="0054499E"/>
    <w:rsid w:val="00544E4C"/>
    <w:rsid w:val="005454E8"/>
    <w:rsid w:val="00545DC5"/>
    <w:rsid w:val="00545E12"/>
    <w:rsid w:val="00545F8F"/>
    <w:rsid w:val="005460B1"/>
    <w:rsid w:val="005467FD"/>
    <w:rsid w:val="00546DFB"/>
    <w:rsid w:val="00546E00"/>
    <w:rsid w:val="00547161"/>
    <w:rsid w:val="00547347"/>
    <w:rsid w:val="00547887"/>
    <w:rsid w:val="00547A73"/>
    <w:rsid w:val="00547F58"/>
    <w:rsid w:val="0055021C"/>
    <w:rsid w:val="005502DC"/>
    <w:rsid w:val="005509DA"/>
    <w:rsid w:val="00551A09"/>
    <w:rsid w:val="00551F85"/>
    <w:rsid w:val="0055206D"/>
    <w:rsid w:val="00552534"/>
    <w:rsid w:val="00552D2C"/>
    <w:rsid w:val="00553387"/>
    <w:rsid w:val="005533C7"/>
    <w:rsid w:val="00553B31"/>
    <w:rsid w:val="00553FEF"/>
    <w:rsid w:val="0055511E"/>
    <w:rsid w:val="005551B7"/>
    <w:rsid w:val="00555454"/>
    <w:rsid w:val="005557D7"/>
    <w:rsid w:val="00555C66"/>
    <w:rsid w:val="005562DF"/>
    <w:rsid w:val="00556EDD"/>
    <w:rsid w:val="00557348"/>
    <w:rsid w:val="00557763"/>
    <w:rsid w:val="0056004E"/>
    <w:rsid w:val="0056123F"/>
    <w:rsid w:val="00561422"/>
    <w:rsid w:val="00561C18"/>
    <w:rsid w:val="00563514"/>
    <w:rsid w:val="005637A4"/>
    <w:rsid w:val="005639BA"/>
    <w:rsid w:val="005641B2"/>
    <w:rsid w:val="00564BC2"/>
    <w:rsid w:val="00564D46"/>
    <w:rsid w:val="00565C03"/>
    <w:rsid w:val="00566190"/>
    <w:rsid w:val="005666A1"/>
    <w:rsid w:val="005667B7"/>
    <w:rsid w:val="00566CF2"/>
    <w:rsid w:val="005674E0"/>
    <w:rsid w:val="00567671"/>
    <w:rsid w:val="00570530"/>
    <w:rsid w:val="00571A6A"/>
    <w:rsid w:val="00572663"/>
    <w:rsid w:val="00572699"/>
    <w:rsid w:val="00572787"/>
    <w:rsid w:val="00574A53"/>
    <w:rsid w:val="00574C98"/>
    <w:rsid w:val="00575577"/>
    <w:rsid w:val="005757F9"/>
    <w:rsid w:val="00575935"/>
    <w:rsid w:val="00576171"/>
    <w:rsid w:val="0057629F"/>
    <w:rsid w:val="005765EA"/>
    <w:rsid w:val="00577004"/>
    <w:rsid w:val="005771B8"/>
    <w:rsid w:val="005776A9"/>
    <w:rsid w:val="00577C0E"/>
    <w:rsid w:val="00577EA1"/>
    <w:rsid w:val="005800AF"/>
    <w:rsid w:val="00580B93"/>
    <w:rsid w:val="00580E7C"/>
    <w:rsid w:val="00582213"/>
    <w:rsid w:val="00582426"/>
    <w:rsid w:val="005826C0"/>
    <w:rsid w:val="005831F3"/>
    <w:rsid w:val="005832D4"/>
    <w:rsid w:val="0058370A"/>
    <w:rsid w:val="0058439D"/>
    <w:rsid w:val="00585A38"/>
    <w:rsid w:val="00586072"/>
    <w:rsid w:val="00586161"/>
    <w:rsid w:val="00587834"/>
    <w:rsid w:val="005879B6"/>
    <w:rsid w:val="00590EE0"/>
    <w:rsid w:val="005920FD"/>
    <w:rsid w:val="00592342"/>
    <w:rsid w:val="005925C4"/>
    <w:rsid w:val="00592DB0"/>
    <w:rsid w:val="00592F6D"/>
    <w:rsid w:val="005932F9"/>
    <w:rsid w:val="0059379B"/>
    <w:rsid w:val="00593B8B"/>
    <w:rsid w:val="00594050"/>
    <w:rsid w:val="00594129"/>
    <w:rsid w:val="0059455A"/>
    <w:rsid w:val="00594AB3"/>
    <w:rsid w:val="00594B2E"/>
    <w:rsid w:val="00594F86"/>
    <w:rsid w:val="00595267"/>
    <w:rsid w:val="005953AC"/>
    <w:rsid w:val="00595545"/>
    <w:rsid w:val="005979A4"/>
    <w:rsid w:val="005A0607"/>
    <w:rsid w:val="005A194C"/>
    <w:rsid w:val="005A1B38"/>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679A"/>
    <w:rsid w:val="005A78C7"/>
    <w:rsid w:val="005A7CC0"/>
    <w:rsid w:val="005B0422"/>
    <w:rsid w:val="005B07C9"/>
    <w:rsid w:val="005B1027"/>
    <w:rsid w:val="005B19B5"/>
    <w:rsid w:val="005B1A84"/>
    <w:rsid w:val="005B1D23"/>
    <w:rsid w:val="005B2264"/>
    <w:rsid w:val="005B2558"/>
    <w:rsid w:val="005B29E0"/>
    <w:rsid w:val="005B2AEF"/>
    <w:rsid w:val="005B2C2B"/>
    <w:rsid w:val="005B2CCD"/>
    <w:rsid w:val="005B2EE5"/>
    <w:rsid w:val="005B33F2"/>
    <w:rsid w:val="005B358D"/>
    <w:rsid w:val="005B35BB"/>
    <w:rsid w:val="005B3C10"/>
    <w:rsid w:val="005B48D3"/>
    <w:rsid w:val="005B4C80"/>
    <w:rsid w:val="005B51C3"/>
    <w:rsid w:val="005B6BE8"/>
    <w:rsid w:val="005B79AA"/>
    <w:rsid w:val="005B7E15"/>
    <w:rsid w:val="005C007F"/>
    <w:rsid w:val="005C0BA1"/>
    <w:rsid w:val="005C0CB7"/>
    <w:rsid w:val="005C1962"/>
    <w:rsid w:val="005C1E10"/>
    <w:rsid w:val="005C2336"/>
    <w:rsid w:val="005C2BD0"/>
    <w:rsid w:val="005C36CC"/>
    <w:rsid w:val="005C49D5"/>
    <w:rsid w:val="005C4F74"/>
    <w:rsid w:val="005C5383"/>
    <w:rsid w:val="005C55A3"/>
    <w:rsid w:val="005C5656"/>
    <w:rsid w:val="005C68C0"/>
    <w:rsid w:val="005C6BE3"/>
    <w:rsid w:val="005C6D8D"/>
    <w:rsid w:val="005C740C"/>
    <w:rsid w:val="005C7559"/>
    <w:rsid w:val="005D0626"/>
    <w:rsid w:val="005D0658"/>
    <w:rsid w:val="005D0AD7"/>
    <w:rsid w:val="005D0EFD"/>
    <w:rsid w:val="005D1692"/>
    <w:rsid w:val="005D2598"/>
    <w:rsid w:val="005D3B41"/>
    <w:rsid w:val="005D3B6B"/>
    <w:rsid w:val="005D3D0B"/>
    <w:rsid w:val="005D573D"/>
    <w:rsid w:val="005D5A62"/>
    <w:rsid w:val="005D5DFA"/>
    <w:rsid w:val="005D5E42"/>
    <w:rsid w:val="005D5E5C"/>
    <w:rsid w:val="005D6665"/>
    <w:rsid w:val="005D66ED"/>
    <w:rsid w:val="005D67A6"/>
    <w:rsid w:val="005D69B1"/>
    <w:rsid w:val="005D6D13"/>
    <w:rsid w:val="005D748F"/>
    <w:rsid w:val="005E013F"/>
    <w:rsid w:val="005E1723"/>
    <w:rsid w:val="005E1D00"/>
    <w:rsid w:val="005E1FFB"/>
    <w:rsid w:val="005E2286"/>
    <w:rsid w:val="005E2A4D"/>
    <w:rsid w:val="005E2D40"/>
    <w:rsid w:val="005E3ABB"/>
    <w:rsid w:val="005E3C74"/>
    <w:rsid w:val="005E402C"/>
    <w:rsid w:val="005E4085"/>
    <w:rsid w:val="005E43A8"/>
    <w:rsid w:val="005E470E"/>
    <w:rsid w:val="005E47A3"/>
    <w:rsid w:val="005E491F"/>
    <w:rsid w:val="005E4925"/>
    <w:rsid w:val="005E4D09"/>
    <w:rsid w:val="005E4E8E"/>
    <w:rsid w:val="005E52B8"/>
    <w:rsid w:val="005E5F7C"/>
    <w:rsid w:val="005E6093"/>
    <w:rsid w:val="005E62D3"/>
    <w:rsid w:val="005E68BC"/>
    <w:rsid w:val="005E6CE2"/>
    <w:rsid w:val="005E6FDB"/>
    <w:rsid w:val="005E7042"/>
    <w:rsid w:val="005E7213"/>
    <w:rsid w:val="005E77D3"/>
    <w:rsid w:val="005F15D8"/>
    <w:rsid w:val="005F2296"/>
    <w:rsid w:val="005F23A5"/>
    <w:rsid w:val="005F284E"/>
    <w:rsid w:val="005F2D60"/>
    <w:rsid w:val="005F38AD"/>
    <w:rsid w:val="005F4498"/>
    <w:rsid w:val="005F4AED"/>
    <w:rsid w:val="005F4BAB"/>
    <w:rsid w:val="005F4DBF"/>
    <w:rsid w:val="005F4E55"/>
    <w:rsid w:val="005F5E9E"/>
    <w:rsid w:val="005F6106"/>
    <w:rsid w:val="005F61DF"/>
    <w:rsid w:val="005F73F9"/>
    <w:rsid w:val="005F7510"/>
    <w:rsid w:val="005F7A3E"/>
    <w:rsid w:val="006001E7"/>
    <w:rsid w:val="0060091E"/>
    <w:rsid w:val="006019E9"/>
    <w:rsid w:val="00601C07"/>
    <w:rsid w:val="00601F9D"/>
    <w:rsid w:val="006023FC"/>
    <w:rsid w:val="00602456"/>
    <w:rsid w:val="00602DF4"/>
    <w:rsid w:val="0060308C"/>
    <w:rsid w:val="006032A7"/>
    <w:rsid w:val="006033F1"/>
    <w:rsid w:val="00603AA0"/>
    <w:rsid w:val="00603DAE"/>
    <w:rsid w:val="0060419B"/>
    <w:rsid w:val="00604245"/>
    <w:rsid w:val="006045FE"/>
    <w:rsid w:val="006046E5"/>
    <w:rsid w:val="00604AC9"/>
    <w:rsid w:val="006056A2"/>
    <w:rsid w:val="00605C46"/>
    <w:rsid w:val="0060606D"/>
    <w:rsid w:val="00606425"/>
    <w:rsid w:val="00606634"/>
    <w:rsid w:val="0060690E"/>
    <w:rsid w:val="00606999"/>
    <w:rsid w:val="00606B27"/>
    <w:rsid w:val="0060786D"/>
    <w:rsid w:val="006104E2"/>
    <w:rsid w:val="0061072A"/>
    <w:rsid w:val="0061107C"/>
    <w:rsid w:val="00611189"/>
    <w:rsid w:val="00611287"/>
    <w:rsid w:val="00611714"/>
    <w:rsid w:val="00611715"/>
    <w:rsid w:val="00611855"/>
    <w:rsid w:val="00611B38"/>
    <w:rsid w:val="006122C1"/>
    <w:rsid w:val="006136B7"/>
    <w:rsid w:val="006136FD"/>
    <w:rsid w:val="00613724"/>
    <w:rsid w:val="00613A0E"/>
    <w:rsid w:val="00613CF3"/>
    <w:rsid w:val="0061439E"/>
    <w:rsid w:val="0061446B"/>
    <w:rsid w:val="0061478D"/>
    <w:rsid w:val="00614929"/>
    <w:rsid w:val="00615302"/>
    <w:rsid w:val="006155C4"/>
    <w:rsid w:val="006166E9"/>
    <w:rsid w:val="0061726A"/>
    <w:rsid w:val="006178C6"/>
    <w:rsid w:val="00617F52"/>
    <w:rsid w:val="006209A8"/>
    <w:rsid w:val="00620BA3"/>
    <w:rsid w:val="00620D74"/>
    <w:rsid w:val="0062130E"/>
    <w:rsid w:val="00621318"/>
    <w:rsid w:val="006224C1"/>
    <w:rsid w:val="006227DA"/>
    <w:rsid w:val="006227E2"/>
    <w:rsid w:val="00622C55"/>
    <w:rsid w:val="00623DF9"/>
    <w:rsid w:val="00624561"/>
    <w:rsid w:val="006245CF"/>
    <w:rsid w:val="00624960"/>
    <w:rsid w:val="00624E24"/>
    <w:rsid w:val="00624E2C"/>
    <w:rsid w:val="00624F02"/>
    <w:rsid w:val="00625A03"/>
    <w:rsid w:val="00625B2F"/>
    <w:rsid w:val="00626187"/>
    <w:rsid w:val="00626984"/>
    <w:rsid w:val="00626C24"/>
    <w:rsid w:val="006271D9"/>
    <w:rsid w:val="00627F32"/>
    <w:rsid w:val="0063084D"/>
    <w:rsid w:val="006308F0"/>
    <w:rsid w:val="0063091A"/>
    <w:rsid w:val="00630BB7"/>
    <w:rsid w:val="00631186"/>
    <w:rsid w:val="00631339"/>
    <w:rsid w:val="006313F5"/>
    <w:rsid w:val="0063193D"/>
    <w:rsid w:val="00632061"/>
    <w:rsid w:val="00632592"/>
    <w:rsid w:val="00632655"/>
    <w:rsid w:val="00632745"/>
    <w:rsid w:val="00632AF4"/>
    <w:rsid w:val="006333A3"/>
    <w:rsid w:val="00633683"/>
    <w:rsid w:val="006346B7"/>
    <w:rsid w:val="00634865"/>
    <w:rsid w:val="00635631"/>
    <w:rsid w:val="00635980"/>
    <w:rsid w:val="00635E0B"/>
    <w:rsid w:val="00636477"/>
    <w:rsid w:val="00636B38"/>
    <w:rsid w:val="006373C5"/>
    <w:rsid w:val="00637486"/>
    <w:rsid w:val="006376ED"/>
    <w:rsid w:val="0063777F"/>
    <w:rsid w:val="00637AC7"/>
    <w:rsid w:val="00637D6C"/>
    <w:rsid w:val="006406C4"/>
    <w:rsid w:val="00640734"/>
    <w:rsid w:val="006408FB"/>
    <w:rsid w:val="00640936"/>
    <w:rsid w:val="00640C20"/>
    <w:rsid w:val="006418AF"/>
    <w:rsid w:val="00641B34"/>
    <w:rsid w:val="00641D61"/>
    <w:rsid w:val="00642430"/>
    <w:rsid w:val="006425E4"/>
    <w:rsid w:val="0064260A"/>
    <w:rsid w:val="006448F8"/>
    <w:rsid w:val="006453C5"/>
    <w:rsid w:val="006458EC"/>
    <w:rsid w:val="00645F23"/>
    <w:rsid w:val="00646B3D"/>
    <w:rsid w:val="00646C1B"/>
    <w:rsid w:val="00647477"/>
    <w:rsid w:val="006475CE"/>
    <w:rsid w:val="00647EB3"/>
    <w:rsid w:val="00651138"/>
    <w:rsid w:val="006511A3"/>
    <w:rsid w:val="00651807"/>
    <w:rsid w:val="00651A62"/>
    <w:rsid w:val="006520A7"/>
    <w:rsid w:val="006527A8"/>
    <w:rsid w:val="00653100"/>
    <w:rsid w:val="006535F3"/>
    <w:rsid w:val="006550B5"/>
    <w:rsid w:val="006559C3"/>
    <w:rsid w:val="00655A00"/>
    <w:rsid w:val="00655A3B"/>
    <w:rsid w:val="006561D7"/>
    <w:rsid w:val="0065633E"/>
    <w:rsid w:val="006566F6"/>
    <w:rsid w:val="00656A22"/>
    <w:rsid w:val="00656C30"/>
    <w:rsid w:val="00657611"/>
    <w:rsid w:val="00657D09"/>
    <w:rsid w:val="00660FB3"/>
    <w:rsid w:val="006610A6"/>
    <w:rsid w:val="006613E6"/>
    <w:rsid w:val="00661C98"/>
    <w:rsid w:val="00661E38"/>
    <w:rsid w:val="0066237F"/>
    <w:rsid w:val="00662E47"/>
    <w:rsid w:val="006632F9"/>
    <w:rsid w:val="00663B82"/>
    <w:rsid w:val="00663BF7"/>
    <w:rsid w:val="00663EDB"/>
    <w:rsid w:val="00664219"/>
    <w:rsid w:val="00664482"/>
    <w:rsid w:val="00664DA9"/>
    <w:rsid w:val="0066598D"/>
    <w:rsid w:val="006659BE"/>
    <w:rsid w:val="00665E7A"/>
    <w:rsid w:val="00665F2F"/>
    <w:rsid w:val="00666C63"/>
    <w:rsid w:val="00666E11"/>
    <w:rsid w:val="00670201"/>
    <w:rsid w:val="00670A6D"/>
    <w:rsid w:val="00671CBE"/>
    <w:rsid w:val="00671EF5"/>
    <w:rsid w:val="00673610"/>
    <w:rsid w:val="00674346"/>
    <w:rsid w:val="00675797"/>
    <w:rsid w:val="00675919"/>
    <w:rsid w:val="00675A26"/>
    <w:rsid w:val="00675F26"/>
    <w:rsid w:val="006764B3"/>
    <w:rsid w:val="00677649"/>
    <w:rsid w:val="00677856"/>
    <w:rsid w:val="0068029C"/>
    <w:rsid w:val="0068062F"/>
    <w:rsid w:val="00680F24"/>
    <w:rsid w:val="00681447"/>
    <w:rsid w:val="00681683"/>
    <w:rsid w:val="00681700"/>
    <w:rsid w:val="00682E00"/>
    <w:rsid w:val="00683FDC"/>
    <w:rsid w:val="006847AF"/>
    <w:rsid w:val="00684A24"/>
    <w:rsid w:val="006858E7"/>
    <w:rsid w:val="00685AF2"/>
    <w:rsid w:val="00685B20"/>
    <w:rsid w:val="00687182"/>
    <w:rsid w:val="00687AFB"/>
    <w:rsid w:val="00687B79"/>
    <w:rsid w:val="00687E61"/>
    <w:rsid w:val="00690064"/>
    <w:rsid w:val="006905C6"/>
    <w:rsid w:val="006907C5"/>
    <w:rsid w:val="00690A19"/>
    <w:rsid w:val="00690E16"/>
    <w:rsid w:val="0069109A"/>
    <w:rsid w:val="00691446"/>
    <w:rsid w:val="006917CD"/>
    <w:rsid w:val="00691B34"/>
    <w:rsid w:val="00691D95"/>
    <w:rsid w:val="00691DFE"/>
    <w:rsid w:val="006924C1"/>
    <w:rsid w:val="00692780"/>
    <w:rsid w:val="00692A00"/>
    <w:rsid w:val="006934ED"/>
    <w:rsid w:val="00693548"/>
    <w:rsid w:val="00693595"/>
    <w:rsid w:val="00693928"/>
    <w:rsid w:val="006939D7"/>
    <w:rsid w:val="006947A9"/>
    <w:rsid w:val="006949D2"/>
    <w:rsid w:val="00694C06"/>
    <w:rsid w:val="00694C5F"/>
    <w:rsid w:val="00695140"/>
    <w:rsid w:val="006955B2"/>
    <w:rsid w:val="00696917"/>
    <w:rsid w:val="006971D7"/>
    <w:rsid w:val="00697544"/>
    <w:rsid w:val="00697946"/>
    <w:rsid w:val="006A028F"/>
    <w:rsid w:val="006A0AF2"/>
    <w:rsid w:val="006A0DE8"/>
    <w:rsid w:val="006A2333"/>
    <w:rsid w:val="006A23D3"/>
    <w:rsid w:val="006A38F5"/>
    <w:rsid w:val="006A3903"/>
    <w:rsid w:val="006A3F08"/>
    <w:rsid w:val="006A4A9C"/>
    <w:rsid w:val="006A4D43"/>
    <w:rsid w:val="006A6325"/>
    <w:rsid w:val="006A6E1D"/>
    <w:rsid w:val="006A71A2"/>
    <w:rsid w:val="006A72F2"/>
    <w:rsid w:val="006A742B"/>
    <w:rsid w:val="006A757A"/>
    <w:rsid w:val="006A77B9"/>
    <w:rsid w:val="006A7A0B"/>
    <w:rsid w:val="006B0328"/>
    <w:rsid w:val="006B15F7"/>
    <w:rsid w:val="006B169E"/>
    <w:rsid w:val="006B177F"/>
    <w:rsid w:val="006B1A42"/>
    <w:rsid w:val="006B1A89"/>
    <w:rsid w:val="006B2842"/>
    <w:rsid w:val="006B2E90"/>
    <w:rsid w:val="006B2E9F"/>
    <w:rsid w:val="006B32AB"/>
    <w:rsid w:val="006B33B4"/>
    <w:rsid w:val="006B388A"/>
    <w:rsid w:val="006B4253"/>
    <w:rsid w:val="006B43EC"/>
    <w:rsid w:val="006B5691"/>
    <w:rsid w:val="006B58E6"/>
    <w:rsid w:val="006B652D"/>
    <w:rsid w:val="006B65A7"/>
    <w:rsid w:val="006B682E"/>
    <w:rsid w:val="006B68E0"/>
    <w:rsid w:val="006B6C95"/>
    <w:rsid w:val="006B6F8B"/>
    <w:rsid w:val="006B72FB"/>
    <w:rsid w:val="006B7F66"/>
    <w:rsid w:val="006C1AC7"/>
    <w:rsid w:val="006C209F"/>
    <w:rsid w:val="006C2544"/>
    <w:rsid w:val="006C320A"/>
    <w:rsid w:val="006C32DC"/>
    <w:rsid w:val="006C3577"/>
    <w:rsid w:val="006C4BC8"/>
    <w:rsid w:val="006C4E53"/>
    <w:rsid w:val="006C56DA"/>
    <w:rsid w:val="006C5846"/>
    <w:rsid w:val="006C6511"/>
    <w:rsid w:val="006C655B"/>
    <w:rsid w:val="006C76FB"/>
    <w:rsid w:val="006C79C1"/>
    <w:rsid w:val="006D001F"/>
    <w:rsid w:val="006D1884"/>
    <w:rsid w:val="006D1972"/>
    <w:rsid w:val="006D19FD"/>
    <w:rsid w:val="006D1A13"/>
    <w:rsid w:val="006D1F1E"/>
    <w:rsid w:val="006D329F"/>
    <w:rsid w:val="006D32F6"/>
    <w:rsid w:val="006D4362"/>
    <w:rsid w:val="006D49AC"/>
    <w:rsid w:val="006D4A96"/>
    <w:rsid w:val="006D4AA0"/>
    <w:rsid w:val="006D4B3F"/>
    <w:rsid w:val="006D4C62"/>
    <w:rsid w:val="006D547A"/>
    <w:rsid w:val="006D554A"/>
    <w:rsid w:val="006D5A84"/>
    <w:rsid w:val="006D5B3B"/>
    <w:rsid w:val="006D5C23"/>
    <w:rsid w:val="006D60C2"/>
    <w:rsid w:val="006D629F"/>
    <w:rsid w:val="006D67E2"/>
    <w:rsid w:val="006D698F"/>
    <w:rsid w:val="006D6D66"/>
    <w:rsid w:val="006D712C"/>
    <w:rsid w:val="006D7ADA"/>
    <w:rsid w:val="006D7B17"/>
    <w:rsid w:val="006E0D0F"/>
    <w:rsid w:val="006E1047"/>
    <w:rsid w:val="006E1373"/>
    <w:rsid w:val="006E16AE"/>
    <w:rsid w:val="006E1820"/>
    <w:rsid w:val="006E237B"/>
    <w:rsid w:val="006E29A5"/>
    <w:rsid w:val="006E3763"/>
    <w:rsid w:val="006E37A9"/>
    <w:rsid w:val="006E38D8"/>
    <w:rsid w:val="006E3A5D"/>
    <w:rsid w:val="006E43AD"/>
    <w:rsid w:val="006E45C9"/>
    <w:rsid w:val="006E4C13"/>
    <w:rsid w:val="006E638A"/>
    <w:rsid w:val="006E6450"/>
    <w:rsid w:val="006E69CC"/>
    <w:rsid w:val="006E6A83"/>
    <w:rsid w:val="006E6BD0"/>
    <w:rsid w:val="006E6C7A"/>
    <w:rsid w:val="006E7C12"/>
    <w:rsid w:val="006F07C5"/>
    <w:rsid w:val="006F0849"/>
    <w:rsid w:val="006F0A20"/>
    <w:rsid w:val="006F0BE7"/>
    <w:rsid w:val="006F0E5F"/>
    <w:rsid w:val="006F1312"/>
    <w:rsid w:val="006F1D3B"/>
    <w:rsid w:val="006F1D7D"/>
    <w:rsid w:val="006F1DDA"/>
    <w:rsid w:val="006F1EFB"/>
    <w:rsid w:val="006F265F"/>
    <w:rsid w:val="006F32B3"/>
    <w:rsid w:val="006F41C3"/>
    <w:rsid w:val="006F44B3"/>
    <w:rsid w:val="006F460E"/>
    <w:rsid w:val="006F4DBC"/>
    <w:rsid w:val="006F5135"/>
    <w:rsid w:val="006F54CC"/>
    <w:rsid w:val="006F5528"/>
    <w:rsid w:val="006F552B"/>
    <w:rsid w:val="006F5782"/>
    <w:rsid w:val="006F5850"/>
    <w:rsid w:val="006F6039"/>
    <w:rsid w:val="006F6255"/>
    <w:rsid w:val="006F6659"/>
    <w:rsid w:val="006F71DA"/>
    <w:rsid w:val="006F7553"/>
    <w:rsid w:val="006F79AB"/>
    <w:rsid w:val="006F7E8D"/>
    <w:rsid w:val="007005DF"/>
    <w:rsid w:val="0070081B"/>
    <w:rsid w:val="0070113A"/>
    <w:rsid w:val="0070184A"/>
    <w:rsid w:val="00701A88"/>
    <w:rsid w:val="00701ACD"/>
    <w:rsid w:val="00701B21"/>
    <w:rsid w:val="00701D40"/>
    <w:rsid w:val="007024F0"/>
    <w:rsid w:val="007026D6"/>
    <w:rsid w:val="00702909"/>
    <w:rsid w:val="00702CAC"/>
    <w:rsid w:val="007032DC"/>
    <w:rsid w:val="00703E35"/>
    <w:rsid w:val="00704168"/>
    <w:rsid w:val="00704686"/>
    <w:rsid w:val="00704C82"/>
    <w:rsid w:val="00704E4F"/>
    <w:rsid w:val="00705989"/>
    <w:rsid w:val="00705BDB"/>
    <w:rsid w:val="00705C33"/>
    <w:rsid w:val="00705FBF"/>
    <w:rsid w:val="007060FE"/>
    <w:rsid w:val="00706F15"/>
    <w:rsid w:val="00710043"/>
    <w:rsid w:val="00710138"/>
    <w:rsid w:val="007105EE"/>
    <w:rsid w:val="007109B3"/>
    <w:rsid w:val="00710A63"/>
    <w:rsid w:val="00710C6F"/>
    <w:rsid w:val="00710E30"/>
    <w:rsid w:val="0071128B"/>
    <w:rsid w:val="00711895"/>
    <w:rsid w:val="007119C8"/>
    <w:rsid w:val="00711ECE"/>
    <w:rsid w:val="007130A0"/>
    <w:rsid w:val="00713159"/>
    <w:rsid w:val="007133FE"/>
    <w:rsid w:val="00713598"/>
    <w:rsid w:val="0071382D"/>
    <w:rsid w:val="00713884"/>
    <w:rsid w:val="00713A65"/>
    <w:rsid w:val="00714100"/>
    <w:rsid w:val="00714199"/>
    <w:rsid w:val="007142F6"/>
    <w:rsid w:val="007149A9"/>
    <w:rsid w:val="00714DD2"/>
    <w:rsid w:val="00715B0A"/>
    <w:rsid w:val="0071610F"/>
    <w:rsid w:val="007166D2"/>
    <w:rsid w:val="00716880"/>
    <w:rsid w:val="00716A9D"/>
    <w:rsid w:val="00716AF5"/>
    <w:rsid w:val="007170CB"/>
    <w:rsid w:val="007200B1"/>
    <w:rsid w:val="00720B93"/>
    <w:rsid w:val="00720E47"/>
    <w:rsid w:val="00721197"/>
    <w:rsid w:val="00721205"/>
    <w:rsid w:val="00721638"/>
    <w:rsid w:val="00721651"/>
    <w:rsid w:val="00721691"/>
    <w:rsid w:val="00721B73"/>
    <w:rsid w:val="00722486"/>
    <w:rsid w:val="00722829"/>
    <w:rsid w:val="00722C14"/>
    <w:rsid w:val="00723705"/>
    <w:rsid w:val="007238C7"/>
    <w:rsid w:val="00724227"/>
    <w:rsid w:val="00724AC4"/>
    <w:rsid w:val="00724C04"/>
    <w:rsid w:val="00724C3A"/>
    <w:rsid w:val="00724F94"/>
    <w:rsid w:val="0072534C"/>
    <w:rsid w:val="0072540F"/>
    <w:rsid w:val="00725702"/>
    <w:rsid w:val="00725A9C"/>
    <w:rsid w:val="00726775"/>
    <w:rsid w:val="00727C3E"/>
    <w:rsid w:val="00727C66"/>
    <w:rsid w:val="0073032D"/>
    <w:rsid w:val="00730BFB"/>
    <w:rsid w:val="007314F8"/>
    <w:rsid w:val="00731535"/>
    <w:rsid w:val="00731622"/>
    <w:rsid w:val="00731678"/>
    <w:rsid w:val="00732242"/>
    <w:rsid w:val="00732754"/>
    <w:rsid w:val="00733BB7"/>
    <w:rsid w:val="00736434"/>
    <w:rsid w:val="00736D52"/>
    <w:rsid w:val="00737584"/>
    <w:rsid w:val="007377F9"/>
    <w:rsid w:val="00737AC2"/>
    <w:rsid w:val="00740627"/>
    <w:rsid w:val="00740D0B"/>
    <w:rsid w:val="00741174"/>
    <w:rsid w:val="00741185"/>
    <w:rsid w:val="00741476"/>
    <w:rsid w:val="00741869"/>
    <w:rsid w:val="00741A0D"/>
    <w:rsid w:val="0074205F"/>
    <w:rsid w:val="0074248F"/>
    <w:rsid w:val="007428D4"/>
    <w:rsid w:val="00742B89"/>
    <w:rsid w:val="0074383C"/>
    <w:rsid w:val="0074418E"/>
    <w:rsid w:val="007441AA"/>
    <w:rsid w:val="00744662"/>
    <w:rsid w:val="00744948"/>
    <w:rsid w:val="00745870"/>
    <w:rsid w:val="00745A36"/>
    <w:rsid w:val="007464DE"/>
    <w:rsid w:val="007465DD"/>
    <w:rsid w:val="00746DD4"/>
    <w:rsid w:val="0074784F"/>
    <w:rsid w:val="007479EF"/>
    <w:rsid w:val="00750167"/>
    <w:rsid w:val="00750388"/>
    <w:rsid w:val="00750441"/>
    <w:rsid w:val="0075076B"/>
    <w:rsid w:val="00750B87"/>
    <w:rsid w:val="00750BBA"/>
    <w:rsid w:val="00750E3B"/>
    <w:rsid w:val="00751A4A"/>
    <w:rsid w:val="00751CB1"/>
    <w:rsid w:val="00751E0A"/>
    <w:rsid w:val="00752B7D"/>
    <w:rsid w:val="00752BD0"/>
    <w:rsid w:val="00753014"/>
    <w:rsid w:val="00753325"/>
    <w:rsid w:val="00753575"/>
    <w:rsid w:val="007538D7"/>
    <w:rsid w:val="0075401E"/>
    <w:rsid w:val="00754057"/>
    <w:rsid w:val="0075426C"/>
    <w:rsid w:val="00754659"/>
    <w:rsid w:val="007549D5"/>
    <w:rsid w:val="00754C00"/>
    <w:rsid w:val="007558B2"/>
    <w:rsid w:val="00755922"/>
    <w:rsid w:val="00755C4F"/>
    <w:rsid w:val="00755D63"/>
    <w:rsid w:val="00755E8C"/>
    <w:rsid w:val="00755F24"/>
    <w:rsid w:val="0075620D"/>
    <w:rsid w:val="007562A4"/>
    <w:rsid w:val="0075669C"/>
    <w:rsid w:val="00756949"/>
    <w:rsid w:val="00756EA1"/>
    <w:rsid w:val="00756FA2"/>
    <w:rsid w:val="007570EA"/>
    <w:rsid w:val="007577E3"/>
    <w:rsid w:val="00757AFA"/>
    <w:rsid w:val="00757CF9"/>
    <w:rsid w:val="00760556"/>
    <w:rsid w:val="00760A57"/>
    <w:rsid w:val="00760A76"/>
    <w:rsid w:val="00760B57"/>
    <w:rsid w:val="0076168A"/>
    <w:rsid w:val="00761785"/>
    <w:rsid w:val="007618BB"/>
    <w:rsid w:val="0076191A"/>
    <w:rsid w:val="0076244C"/>
    <w:rsid w:val="00762695"/>
    <w:rsid w:val="00762831"/>
    <w:rsid w:val="00763581"/>
    <w:rsid w:val="00763A58"/>
    <w:rsid w:val="00763F19"/>
    <w:rsid w:val="0076447C"/>
    <w:rsid w:val="0076463A"/>
    <w:rsid w:val="00764FC1"/>
    <w:rsid w:val="007651E9"/>
    <w:rsid w:val="00766537"/>
    <w:rsid w:val="007665A0"/>
    <w:rsid w:val="0076732F"/>
    <w:rsid w:val="007676A3"/>
    <w:rsid w:val="007679CC"/>
    <w:rsid w:val="00767B6E"/>
    <w:rsid w:val="00770433"/>
    <w:rsid w:val="007716FE"/>
    <w:rsid w:val="00771986"/>
    <w:rsid w:val="00771CC1"/>
    <w:rsid w:val="00771D68"/>
    <w:rsid w:val="007720E2"/>
    <w:rsid w:val="007726E3"/>
    <w:rsid w:val="00772C7E"/>
    <w:rsid w:val="007730AD"/>
    <w:rsid w:val="00773707"/>
    <w:rsid w:val="00773DB2"/>
    <w:rsid w:val="007741C6"/>
    <w:rsid w:val="00774760"/>
    <w:rsid w:val="00774FD6"/>
    <w:rsid w:val="007750A8"/>
    <w:rsid w:val="00775C6A"/>
    <w:rsid w:val="00776B70"/>
    <w:rsid w:val="00776C6B"/>
    <w:rsid w:val="00776F5E"/>
    <w:rsid w:val="00777FC8"/>
    <w:rsid w:val="0078088D"/>
    <w:rsid w:val="00780C10"/>
    <w:rsid w:val="007813FD"/>
    <w:rsid w:val="00781422"/>
    <w:rsid w:val="0078180D"/>
    <w:rsid w:val="00781FA5"/>
    <w:rsid w:val="00782936"/>
    <w:rsid w:val="00782C2E"/>
    <w:rsid w:val="00782CB2"/>
    <w:rsid w:val="00782E60"/>
    <w:rsid w:val="00783061"/>
    <w:rsid w:val="00783131"/>
    <w:rsid w:val="00783607"/>
    <w:rsid w:val="00783B67"/>
    <w:rsid w:val="007840C8"/>
    <w:rsid w:val="0078428E"/>
    <w:rsid w:val="007844B0"/>
    <w:rsid w:val="00784F7E"/>
    <w:rsid w:val="00785371"/>
    <w:rsid w:val="00785485"/>
    <w:rsid w:val="00785826"/>
    <w:rsid w:val="00785922"/>
    <w:rsid w:val="007859CD"/>
    <w:rsid w:val="007859D8"/>
    <w:rsid w:val="00785F2E"/>
    <w:rsid w:val="0078616D"/>
    <w:rsid w:val="00786446"/>
    <w:rsid w:val="00786E47"/>
    <w:rsid w:val="00786F76"/>
    <w:rsid w:val="0078711C"/>
    <w:rsid w:val="00787F0D"/>
    <w:rsid w:val="007902A4"/>
    <w:rsid w:val="00790371"/>
    <w:rsid w:val="00790C62"/>
    <w:rsid w:val="00790DCB"/>
    <w:rsid w:val="00790E98"/>
    <w:rsid w:val="00791DFD"/>
    <w:rsid w:val="00791E78"/>
    <w:rsid w:val="00791F10"/>
    <w:rsid w:val="00791FB1"/>
    <w:rsid w:val="00792103"/>
    <w:rsid w:val="00792B66"/>
    <w:rsid w:val="007932FA"/>
    <w:rsid w:val="00793532"/>
    <w:rsid w:val="0079375D"/>
    <w:rsid w:val="00793B3F"/>
    <w:rsid w:val="00794187"/>
    <w:rsid w:val="00794E05"/>
    <w:rsid w:val="0079513D"/>
    <w:rsid w:val="00795274"/>
    <w:rsid w:val="0079537D"/>
    <w:rsid w:val="00795B9A"/>
    <w:rsid w:val="00796998"/>
    <w:rsid w:val="00796C04"/>
    <w:rsid w:val="0079749C"/>
    <w:rsid w:val="007974D3"/>
    <w:rsid w:val="00797879"/>
    <w:rsid w:val="00797A95"/>
    <w:rsid w:val="00797DA6"/>
    <w:rsid w:val="007A0181"/>
    <w:rsid w:val="007A02C8"/>
    <w:rsid w:val="007A054B"/>
    <w:rsid w:val="007A092E"/>
    <w:rsid w:val="007A0EA7"/>
    <w:rsid w:val="007A17D9"/>
    <w:rsid w:val="007A1864"/>
    <w:rsid w:val="007A1C1D"/>
    <w:rsid w:val="007A301D"/>
    <w:rsid w:val="007A30DC"/>
    <w:rsid w:val="007A3A04"/>
    <w:rsid w:val="007A3DDC"/>
    <w:rsid w:val="007A3FAA"/>
    <w:rsid w:val="007A4149"/>
    <w:rsid w:val="007A4538"/>
    <w:rsid w:val="007A47E6"/>
    <w:rsid w:val="007A48C1"/>
    <w:rsid w:val="007A589A"/>
    <w:rsid w:val="007A6B9A"/>
    <w:rsid w:val="007A76CD"/>
    <w:rsid w:val="007A7F70"/>
    <w:rsid w:val="007B00C2"/>
    <w:rsid w:val="007B04D9"/>
    <w:rsid w:val="007B06C1"/>
    <w:rsid w:val="007B083C"/>
    <w:rsid w:val="007B0E7A"/>
    <w:rsid w:val="007B0EA0"/>
    <w:rsid w:val="007B112B"/>
    <w:rsid w:val="007B1340"/>
    <w:rsid w:val="007B15BE"/>
    <w:rsid w:val="007B2224"/>
    <w:rsid w:val="007B2A5B"/>
    <w:rsid w:val="007B30FF"/>
    <w:rsid w:val="007B3242"/>
    <w:rsid w:val="007B3524"/>
    <w:rsid w:val="007B35AF"/>
    <w:rsid w:val="007B36AD"/>
    <w:rsid w:val="007B3898"/>
    <w:rsid w:val="007B4E30"/>
    <w:rsid w:val="007B4FF3"/>
    <w:rsid w:val="007B5763"/>
    <w:rsid w:val="007B5907"/>
    <w:rsid w:val="007B5EBA"/>
    <w:rsid w:val="007B748C"/>
    <w:rsid w:val="007C0362"/>
    <w:rsid w:val="007C04D7"/>
    <w:rsid w:val="007C1072"/>
    <w:rsid w:val="007C142A"/>
    <w:rsid w:val="007C14A5"/>
    <w:rsid w:val="007C1F67"/>
    <w:rsid w:val="007C35C3"/>
    <w:rsid w:val="007C3960"/>
    <w:rsid w:val="007C3C7A"/>
    <w:rsid w:val="007C418C"/>
    <w:rsid w:val="007C42BA"/>
    <w:rsid w:val="007C48DA"/>
    <w:rsid w:val="007C5125"/>
    <w:rsid w:val="007C573A"/>
    <w:rsid w:val="007C6182"/>
    <w:rsid w:val="007C65E8"/>
    <w:rsid w:val="007C752D"/>
    <w:rsid w:val="007D007F"/>
    <w:rsid w:val="007D07F3"/>
    <w:rsid w:val="007D0E23"/>
    <w:rsid w:val="007D1222"/>
    <w:rsid w:val="007D1DA4"/>
    <w:rsid w:val="007D244F"/>
    <w:rsid w:val="007D29A4"/>
    <w:rsid w:val="007D29D3"/>
    <w:rsid w:val="007D2E8C"/>
    <w:rsid w:val="007D36A7"/>
    <w:rsid w:val="007D3827"/>
    <w:rsid w:val="007D3CD8"/>
    <w:rsid w:val="007D408C"/>
    <w:rsid w:val="007D425C"/>
    <w:rsid w:val="007D46CD"/>
    <w:rsid w:val="007D4C5A"/>
    <w:rsid w:val="007D50FF"/>
    <w:rsid w:val="007D5184"/>
    <w:rsid w:val="007D566B"/>
    <w:rsid w:val="007D5D9F"/>
    <w:rsid w:val="007D69C0"/>
    <w:rsid w:val="007D6AB2"/>
    <w:rsid w:val="007E030B"/>
    <w:rsid w:val="007E09DD"/>
    <w:rsid w:val="007E0CD5"/>
    <w:rsid w:val="007E0FF8"/>
    <w:rsid w:val="007E1229"/>
    <w:rsid w:val="007E1778"/>
    <w:rsid w:val="007E1DE4"/>
    <w:rsid w:val="007E239B"/>
    <w:rsid w:val="007E26AE"/>
    <w:rsid w:val="007E2C69"/>
    <w:rsid w:val="007E39ED"/>
    <w:rsid w:val="007E3BA0"/>
    <w:rsid w:val="007E3E99"/>
    <w:rsid w:val="007E451B"/>
    <w:rsid w:val="007E4946"/>
    <w:rsid w:val="007E4D95"/>
    <w:rsid w:val="007E4F1D"/>
    <w:rsid w:val="007E57A6"/>
    <w:rsid w:val="007E5A5B"/>
    <w:rsid w:val="007E60F0"/>
    <w:rsid w:val="007E6B4A"/>
    <w:rsid w:val="007E6C59"/>
    <w:rsid w:val="007E6F56"/>
    <w:rsid w:val="007E706F"/>
    <w:rsid w:val="007E707F"/>
    <w:rsid w:val="007E7F22"/>
    <w:rsid w:val="007F007B"/>
    <w:rsid w:val="007F0641"/>
    <w:rsid w:val="007F1151"/>
    <w:rsid w:val="007F122B"/>
    <w:rsid w:val="007F13B3"/>
    <w:rsid w:val="007F1411"/>
    <w:rsid w:val="007F165A"/>
    <w:rsid w:val="007F1DA0"/>
    <w:rsid w:val="007F23CB"/>
    <w:rsid w:val="007F264F"/>
    <w:rsid w:val="007F2DAE"/>
    <w:rsid w:val="007F2F54"/>
    <w:rsid w:val="007F2F65"/>
    <w:rsid w:val="007F3038"/>
    <w:rsid w:val="007F30B6"/>
    <w:rsid w:val="007F32FE"/>
    <w:rsid w:val="007F37DF"/>
    <w:rsid w:val="007F3BED"/>
    <w:rsid w:val="007F4895"/>
    <w:rsid w:val="007F4A25"/>
    <w:rsid w:val="007F5819"/>
    <w:rsid w:val="007F58FB"/>
    <w:rsid w:val="007F5F6A"/>
    <w:rsid w:val="007F6642"/>
    <w:rsid w:val="007F6C1E"/>
    <w:rsid w:val="007F6D2F"/>
    <w:rsid w:val="007F7166"/>
    <w:rsid w:val="007F7507"/>
    <w:rsid w:val="007F7ACF"/>
    <w:rsid w:val="007F7C79"/>
    <w:rsid w:val="0080008D"/>
    <w:rsid w:val="008009F2"/>
    <w:rsid w:val="00800A28"/>
    <w:rsid w:val="00801748"/>
    <w:rsid w:val="008020DD"/>
    <w:rsid w:val="008035D0"/>
    <w:rsid w:val="00803FCE"/>
    <w:rsid w:val="00804E3F"/>
    <w:rsid w:val="00805060"/>
    <w:rsid w:val="00805483"/>
    <w:rsid w:val="008063E1"/>
    <w:rsid w:val="00807044"/>
    <w:rsid w:val="008072E4"/>
    <w:rsid w:val="0081085D"/>
    <w:rsid w:val="00810A4B"/>
    <w:rsid w:val="00810CA6"/>
    <w:rsid w:val="00810D0B"/>
    <w:rsid w:val="00811086"/>
    <w:rsid w:val="008113CC"/>
    <w:rsid w:val="00812846"/>
    <w:rsid w:val="008128B7"/>
    <w:rsid w:val="00812F87"/>
    <w:rsid w:val="00813605"/>
    <w:rsid w:val="0081382C"/>
    <w:rsid w:val="0081405E"/>
    <w:rsid w:val="008143A1"/>
    <w:rsid w:val="00814951"/>
    <w:rsid w:val="00814AF7"/>
    <w:rsid w:val="00814C77"/>
    <w:rsid w:val="00815111"/>
    <w:rsid w:val="00816069"/>
    <w:rsid w:val="00816EBE"/>
    <w:rsid w:val="00816F44"/>
    <w:rsid w:val="00816FCD"/>
    <w:rsid w:val="00817583"/>
    <w:rsid w:val="00817850"/>
    <w:rsid w:val="00820040"/>
    <w:rsid w:val="0082014E"/>
    <w:rsid w:val="00820A92"/>
    <w:rsid w:val="00821358"/>
    <w:rsid w:val="008218D0"/>
    <w:rsid w:val="00821AC0"/>
    <w:rsid w:val="008223B3"/>
    <w:rsid w:val="008224A7"/>
    <w:rsid w:val="00822B1E"/>
    <w:rsid w:val="00823937"/>
    <w:rsid w:val="00823A8A"/>
    <w:rsid w:val="00823AFD"/>
    <w:rsid w:val="00823B4B"/>
    <w:rsid w:val="00823E8C"/>
    <w:rsid w:val="00823F36"/>
    <w:rsid w:val="008251CF"/>
    <w:rsid w:val="00826103"/>
    <w:rsid w:val="00826668"/>
    <w:rsid w:val="00826C8F"/>
    <w:rsid w:val="00826D96"/>
    <w:rsid w:val="00827000"/>
    <w:rsid w:val="008277CA"/>
    <w:rsid w:val="00827AD4"/>
    <w:rsid w:val="00830DCF"/>
    <w:rsid w:val="00831077"/>
    <w:rsid w:val="0083166C"/>
    <w:rsid w:val="008316AC"/>
    <w:rsid w:val="008319CF"/>
    <w:rsid w:val="00831A66"/>
    <w:rsid w:val="00831B3D"/>
    <w:rsid w:val="008324AA"/>
    <w:rsid w:val="008331AD"/>
    <w:rsid w:val="008339EF"/>
    <w:rsid w:val="008356BF"/>
    <w:rsid w:val="00836AD9"/>
    <w:rsid w:val="00836AF6"/>
    <w:rsid w:val="00836F42"/>
    <w:rsid w:val="00837C97"/>
    <w:rsid w:val="00841543"/>
    <w:rsid w:val="00841B12"/>
    <w:rsid w:val="0084204F"/>
    <w:rsid w:val="00842C36"/>
    <w:rsid w:val="00844B0D"/>
    <w:rsid w:val="00844CCA"/>
    <w:rsid w:val="00844F46"/>
    <w:rsid w:val="00845478"/>
    <w:rsid w:val="00845B48"/>
    <w:rsid w:val="0084665E"/>
    <w:rsid w:val="008467A9"/>
    <w:rsid w:val="00846D31"/>
    <w:rsid w:val="00846F8E"/>
    <w:rsid w:val="00847B8D"/>
    <w:rsid w:val="00847C53"/>
    <w:rsid w:val="00847EDD"/>
    <w:rsid w:val="00850145"/>
    <w:rsid w:val="00850321"/>
    <w:rsid w:val="0085038F"/>
    <w:rsid w:val="008507DF"/>
    <w:rsid w:val="00850808"/>
    <w:rsid w:val="00850858"/>
    <w:rsid w:val="00850966"/>
    <w:rsid w:val="00850AEC"/>
    <w:rsid w:val="00850B85"/>
    <w:rsid w:val="00851B66"/>
    <w:rsid w:val="00851DF3"/>
    <w:rsid w:val="008521C8"/>
    <w:rsid w:val="00852265"/>
    <w:rsid w:val="00852288"/>
    <w:rsid w:val="00852DED"/>
    <w:rsid w:val="00852E60"/>
    <w:rsid w:val="00853030"/>
    <w:rsid w:val="0085400D"/>
    <w:rsid w:val="00854062"/>
    <w:rsid w:val="00854789"/>
    <w:rsid w:val="00854BAA"/>
    <w:rsid w:val="00855089"/>
    <w:rsid w:val="0085575A"/>
    <w:rsid w:val="00855A02"/>
    <w:rsid w:val="008563F0"/>
    <w:rsid w:val="00856B9B"/>
    <w:rsid w:val="008575C8"/>
    <w:rsid w:val="00857AAF"/>
    <w:rsid w:val="0086070D"/>
    <w:rsid w:val="00861352"/>
    <w:rsid w:val="0086148E"/>
    <w:rsid w:val="00861921"/>
    <w:rsid w:val="00861E04"/>
    <w:rsid w:val="008624C1"/>
    <w:rsid w:val="0086297B"/>
    <w:rsid w:val="0086397C"/>
    <w:rsid w:val="0086406C"/>
    <w:rsid w:val="008648DF"/>
    <w:rsid w:val="00864A0C"/>
    <w:rsid w:val="00864A8B"/>
    <w:rsid w:val="008658E9"/>
    <w:rsid w:val="008663E4"/>
    <w:rsid w:val="00866F6B"/>
    <w:rsid w:val="00866FB6"/>
    <w:rsid w:val="0086715E"/>
    <w:rsid w:val="00867227"/>
    <w:rsid w:val="00867330"/>
    <w:rsid w:val="00867E22"/>
    <w:rsid w:val="00867ED8"/>
    <w:rsid w:val="0087023C"/>
    <w:rsid w:val="008702D2"/>
    <w:rsid w:val="0087096F"/>
    <w:rsid w:val="00871A3D"/>
    <w:rsid w:val="00871B62"/>
    <w:rsid w:val="00871F3E"/>
    <w:rsid w:val="00872341"/>
    <w:rsid w:val="00872EFF"/>
    <w:rsid w:val="00873322"/>
    <w:rsid w:val="00873734"/>
    <w:rsid w:val="008737C9"/>
    <w:rsid w:val="00873CE6"/>
    <w:rsid w:val="00873E56"/>
    <w:rsid w:val="008740F3"/>
    <w:rsid w:val="00874E00"/>
    <w:rsid w:val="00875423"/>
    <w:rsid w:val="00875D05"/>
    <w:rsid w:val="00875D4D"/>
    <w:rsid w:val="00876108"/>
    <w:rsid w:val="0087647F"/>
    <w:rsid w:val="008768D7"/>
    <w:rsid w:val="00877340"/>
    <w:rsid w:val="008773A4"/>
    <w:rsid w:val="00877494"/>
    <w:rsid w:val="00877815"/>
    <w:rsid w:val="00880D1A"/>
    <w:rsid w:val="00880ECC"/>
    <w:rsid w:val="00881208"/>
    <w:rsid w:val="0088132F"/>
    <w:rsid w:val="00881413"/>
    <w:rsid w:val="00881861"/>
    <w:rsid w:val="00881C20"/>
    <w:rsid w:val="0088205C"/>
    <w:rsid w:val="00882775"/>
    <w:rsid w:val="00882854"/>
    <w:rsid w:val="00883A45"/>
    <w:rsid w:val="00884075"/>
    <w:rsid w:val="00884ED0"/>
    <w:rsid w:val="00884EE5"/>
    <w:rsid w:val="008852E2"/>
    <w:rsid w:val="00885BCA"/>
    <w:rsid w:val="00885C57"/>
    <w:rsid w:val="00885D57"/>
    <w:rsid w:val="00886202"/>
    <w:rsid w:val="008863D0"/>
    <w:rsid w:val="0088653A"/>
    <w:rsid w:val="00886559"/>
    <w:rsid w:val="008866B3"/>
    <w:rsid w:val="008866E3"/>
    <w:rsid w:val="00886728"/>
    <w:rsid w:val="008876CE"/>
    <w:rsid w:val="00887CD8"/>
    <w:rsid w:val="00887DB2"/>
    <w:rsid w:val="008904D4"/>
    <w:rsid w:val="00890CB2"/>
    <w:rsid w:val="00890D3F"/>
    <w:rsid w:val="0089177C"/>
    <w:rsid w:val="00891EC9"/>
    <w:rsid w:val="00892698"/>
    <w:rsid w:val="008928A7"/>
    <w:rsid w:val="00892DE1"/>
    <w:rsid w:val="0089322A"/>
    <w:rsid w:val="00893A9E"/>
    <w:rsid w:val="00893F4C"/>
    <w:rsid w:val="008942C0"/>
    <w:rsid w:val="008944F2"/>
    <w:rsid w:val="0089478B"/>
    <w:rsid w:val="00894E2D"/>
    <w:rsid w:val="00895126"/>
    <w:rsid w:val="00895C38"/>
    <w:rsid w:val="008962EF"/>
    <w:rsid w:val="00896944"/>
    <w:rsid w:val="00896FBA"/>
    <w:rsid w:val="008975DD"/>
    <w:rsid w:val="008A095E"/>
    <w:rsid w:val="008A0AC1"/>
    <w:rsid w:val="008A0B82"/>
    <w:rsid w:val="008A0D2B"/>
    <w:rsid w:val="008A0D58"/>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B9"/>
    <w:rsid w:val="008A6BFF"/>
    <w:rsid w:val="008A6F4C"/>
    <w:rsid w:val="008A745F"/>
    <w:rsid w:val="008A74F3"/>
    <w:rsid w:val="008B017C"/>
    <w:rsid w:val="008B0203"/>
    <w:rsid w:val="008B047A"/>
    <w:rsid w:val="008B077B"/>
    <w:rsid w:val="008B0AEC"/>
    <w:rsid w:val="008B0CDA"/>
    <w:rsid w:val="008B1A12"/>
    <w:rsid w:val="008B1BFB"/>
    <w:rsid w:val="008B1D76"/>
    <w:rsid w:val="008B2529"/>
    <w:rsid w:val="008B30A9"/>
    <w:rsid w:val="008B43E1"/>
    <w:rsid w:val="008B4798"/>
    <w:rsid w:val="008B4956"/>
    <w:rsid w:val="008B4A57"/>
    <w:rsid w:val="008B5599"/>
    <w:rsid w:val="008B60AB"/>
    <w:rsid w:val="008B6884"/>
    <w:rsid w:val="008B697F"/>
    <w:rsid w:val="008B6C7E"/>
    <w:rsid w:val="008B6DDB"/>
    <w:rsid w:val="008B6E1B"/>
    <w:rsid w:val="008B71AB"/>
    <w:rsid w:val="008B74D9"/>
    <w:rsid w:val="008B7759"/>
    <w:rsid w:val="008B7C99"/>
    <w:rsid w:val="008B7D50"/>
    <w:rsid w:val="008C0129"/>
    <w:rsid w:val="008C08CD"/>
    <w:rsid w:val="008C091A"/>
    <w:rsid w:val="008C0B10"/>
    <w:rsid w:val="008C0B31"/>
    <w:rsid w:val="008C1098"/>
    <w:rsid w:val="008C1BC5"/>
    <w:rsid w:val="008C1C2C"/>
    <w:rsid w:val="008C2F3C"/>
    <w:rsid w:val="008C32E0"/>
    <w:rsid w:val="008C33ED"/>
    <w:rsid w:val="008C3844"/>
    <w:rsid w:val="008C388C"/>
    <w:rsid w:val="008C4333"/>
    <w:rsid w:val="008C4A60"/>
    <w:rsid w:val="008C5A14"/>
    <w:rsid w:val="008C5B0F"/>
    <w:rsid w:val="008C5BC3"/>
    <w:rsid w:val="008C654A"/>
    <w:rsid w:val="008C6D6F"/>
    <w:rsid w:val="008C7786"/>
    <w:rsid w:val="008D0075"/>
    <w:rsid w:val="008D027C"/>
    <w:rsid w:val="008D0ADA"/>
    <w:rsid w:val="008D0F43"/>
    <w:rsid w:val="008D1266"/>
    <w:rsid w:val="008D1935"/>
    <w:rsid w:val="008D1F1F"/>
    <w:rsid w:val="008D1FDF"/>
    <w:rsid w:val="008D2F42"/>
    <w:rsid w:val="008D3723"/>
    <w:rsid w:val="008D3ED7"/>
    <w:rsid w:val="008D41FA"/>
    <w:rsid w:val="008D44C7"/>
    <w:rsid w:val="008D49F8"/>
    <w:rsid w:val="008D4AB4"/>
    <w:rsid w:val="008D5301"/>
    <w:rsid w:val="008D5342"/>
    <w:rsid w:val="008D53A4"/>
    <w:rsid w:val="008D53AD"/>
    <w:rsid w:val="008D6124"/>
    <w:rsid w:val="008D62DF"/>
    <w:rsid w:val="008D67C7"/>
    <w:rsid w:val="008D7183"/>
    <w:rsid w:val="008D7C78"/>
    <w:rsid w:val="008D7F41"/>
    <w:rsid w:val="008E001E"/>
    <w:rsid w:val="008E056A"/>
    <w:rsid w:val="008E06AE"/>
    <w:rsid w:val="008E0FA2"/>
    <w:rsid w:val="008E2293"/>
    <w:rsid w:val="008E2751"/>
    <w:rsid w:val="008E27C5"/>
    <w:rsid w:val="008E27DB"/>
    <w:rsid w:val="008E2962"/>
    <w:rsid w:val="008E29AA"/>
    <w:rsid w:val="008E31DB"/>
    <w:rsid w:val="008E3AFA"/>
    <w:rsid w:val="008E3BF4"/>
    <w:rsid w:val="008E4076"/>
    <w:rsid w:val="008E4422"/>
    <w:rsid w:val="008E45CB"/>
    <w:rsid w:val="008E483E"/>
    <w:rsid w:val="008E4A0E"/>
    <w:rsid w:val="008E56F9"/>
    <w:rsid w:val="008E5841"/>
    <w:rsid w:val="008E5B7F"/>
    <w:rsid w:val="008E602F"/>
    <w:rsid w:val="008E61DC"/>
    <w:rsid w:val="008E61F7"/>
    <w:rsid w:val="008E7073"/>
    <w:rsid w:val="008E70CC"/>
    <w:rsid w:val="008E74B9"/>
    <w:rsid w:val="008E78EA"/>
    <w:rsid w:val="008F0374"/>
    <w:rsid w:val="008F0529"/>
    <w:rsid w:val="008F07CD"/>
    <w:rsid w:val="008F0C42"/>
    <w:rsid w:val="008F0F03"/>
    <w:rsid w:val="008F1560"/>
    <w:rsid w:val="008F17FA"/>
    <w:rsid w:val="008F1CB5"/>
    <w:rsid w:val="008F223F"/>
    <w:rsid w:val="008F276C"/>
    <w:rsid w:val="008F29E8"/>
    <w:rsid w:val="008F338F"/>
    <w:rsid w:val="008F401F"/>
    <w:rsid w:val="008F48A6"/>
    <w:rsid w:val="008F4E18"/>
    <w:rsid w:val="008F4F63"/>
    <w:rsid w:val="008F5276"/>
    <w:rsid w:val="008F57EE"/>
    <w:rsid w:val="008F6B5F"/>
    <w:rsid w:val="008F6C42"/>
    <w:rsid w:val="008F772F"/>
    <w:rsid w:val="008F7760"/>
    <w:rsid w:val="008F7BC4"/>
    <w:rsid w:val="008F7C00"/>
    <w:rsid w:val="0090006B"/>
    <w:rsid w:val="00900E18"/>
    <w:rsid w:val="0090117E"/>
    <w:rsid w:val="00901D51"/>
    <w:rsid w:val="0090215A"/>
    <w:rsid w:val="009034C6"/>
    <w:rsid w:val="00903AA8"/>
    <w:rsid w:val="00903C9C"/>
    <w:rsid w:val="00903D92"/>
    <w:rsid w:val="00903FB5"/>
    <w:rsid w:val="00904429"/>
    <w:rsid w:val="00904E82"/>
    <w:rsid w:val="00905092"/>
    <w:rsid w:val="00905B6B"/>
    <w:rsid w:val="009062BE"/>
    <w:rsid w:val="009063C3"/>
    <w:rsid w:val="00906944"/>
    <w:rsid w:val="0090694A"/>
    <w:rsid w:val="009076C6"/>
    <w:rsid w:val="009078FC"/>
    <w:rsid w:val="00910869"/>
    <w:rsid w:val="00910B20"/>
    <w:rsid w:val="00910B2B"/>
    <w:rsid w:val="00910C9F"/>
    <w:rsid w:val="009111EB"/>
    <w:rsid w:val="009117B2"/>
    <w:rsid w:val="00911A47"/>
    <w:rsid w:val="0091250A"/>
    <w:rsid w:val="00912B3F"/>
    <w:rsid w:val="00912E91"/>
    <w:rsid w:val="009133EA"/>
    <w:rsid w:val="00913431"/>
    <w:rsid w:val="00913559"/>
    <w:rsid w:val="009135D6"/>
    <w:rsid w:val="00913B7E"/>
    <w:rsid w:val="009149DF"/>
    <w:rsid w:val="0091501F"/>
    <w:rsid w:val="0091511B"/>
    <w:rsid w:val="0091553A"/>
    <w:rsid w:val="00916561"/>
    <w:rsid w:val="00916D28"/>
    <w:rsid w:val="00917027"/>
    <w:rsid w:val="00917070"/>
    <w:rsid w:val="0091736E"/>
    <w:rsid w:val="009175A3"/>
    <w:rsid w:val="00917901"/>
    <w:rsid w:val="00917B02"/>
    <w:rsid w:val="00917C5C"/>
    <w:rsid w:val="0092033A"/>
    <w:rsid w:val="00920C04"/>
    <w:rsid w:val="00920CE7"/>
    <w:rsid w:val="00921FB7"/>
    <w:rsid w:val="0092228F"/>
    <w:rsid w:val="00922816"/>
    <w:rsid w:val="0092293D"/>
    <w:rsid w:val="00922D14"/>
    <w:rsid w:val="00923488"/>
    <w:rsid w:val="00923B51"/>
    <w:rsid w:val="00923D5A"/>
    <w:rsid w:val="00923DA7"/>
    <w:rsid w:val="00923E0C"/>
    <w:rsid w:val="0092407F"/>
    <w:rsid w:val="00924290"/>
    <w:rsid w:val="0092491F"/>
    <w:rsid w:val="00924C57"/>
    <w:rsid w:val="00925023"/>
    <w:rsid w:val="0092515F"/>
    <w:rsid w:val="009252D3"/>
    <w:rsid w:val="0092571D"/>
    <w:rsid w:val="009259BA"/>
    <w:rsid w:val="00925C3E"/>
    <w:rsid w:val="00925E7F"/>
    <w:rsid w:val="00927449"/>
    <w:rsid w:val="009275DC"/>
    <w:rsid w:val="0092793E"/>
    <w:rsid w:val="00930034"/>
    <w:rsid w:val="00930332"/>
    <w:rsid w:val="009303B4"/>
    <w:rsid w:val="00930B3D"/>
    <w:rsid w:val="009312F8"/>
    <w:rsid w:val="009314F1"/>
    <w:rsid w:val="00931D04"/>
    <w:rsid w:val="00931D3E"/>
    <w:rsid w:val="00931F7D"/>
    <w:rsid w:val="00932352"/>
    <w:rsid w:val="0093279B"/>
    <w:rsid w:val="00932901"/>
    <w:rsid w:val="00932DAC"/>
    <w:rsid w:val="009336AB"/>
    <w:rsid w:val="00933716"/>
    <w:rsid w:val="00933B20"/>
    <w:rsid w:val="0093442A"/>
    <w:rsid w:val="00935BDA"/>
    <w:rsid w:val="00936D12"/>
    <w:rsid w:val="00937E88"/>
    <w:rsid w:val="00937F7E"/>
    <w:rsid w:val="00941ED0"/>
    <w:rsid w:val="00942149"/>
    <w:rsid w:val="009421C4"/>
    <w:rsid w:val="009421FB"/>
    <w:rsid w:val="00942B44"/>
    <w:rsid w:val="0094317E"/>
    <w:rsid w:val="0094372F"/>
    <w:rsid w:val="00943DE6"/>
    <w:rsid w:val="00943FC2"/>
    <w:rsid w:val="00944641"/>
    <w:rsid w:val="00944AB5"/>
    <w:rsid w:val="009458D3"/>
    <w:rsid w:val="00945B41"/>
    <w:rsid w:val="00946ADF"/>
    <w:rsid w:val="0095006D"/>
    <w:rsid w:val="00950312"/>
    <w:rsid w:val="00950626"/>
    <w:rsid w:val="00950BA5"/>
    <w:rsid w:val="00951453"/>
    <w:rsid w:val="00952134"/>
    <w:rsid w:val="0095237B"/>
    <w:rsid w:val="00952968"/>
    <w:rsid w:val="00952DC6"/>
    <w:rsid w:val="00953B52"/>
    <w:rsid w:val="00954035"/>
    <w:rsid w:val="0095416F"/>
    <w:rsid w:val="0095449F"/>
    <w:rsid w:val="00954607"/>
    <w:rsid w:val="009551BD"/>
    <w:rsid w:val="0095538F"/>
    <w:rsid w:val="00955659"/>
    <w:rsid w:val="00955AF6"/>
    <w:rsid w:val="009564A7"/>
    <w:rsid w:val="009568F0"/>
    <w:rsid w:val="00956A60"/>
    <w:rsid w:val="00956C79"/>
    <w:rsid w:val="009570DC"/>
    <w:rsid w:val="00957397"/>
    <w:rsid w:val="00957A0B"/>
    <w:rsid w:val="00957B4D"/>
    <w:rsid w:val="00957EC3"/>
    <w:rsid w:val="00960175"/>
    <w:rsid w:val="00960545"/>
    <w:rsid w:val="0096070E"/>
    <w:rsid w:val="00961634"/>
    <w:rsid w:val="00961850"/>
    <w:rsid w:val="00961953"/>
    <w:rsid w:val="009619B1"/>
    <w:rsid w:val="00961C06"/>
    <w:rsid w:val="009621D7"/>
    <w:rsid w:val="00962437"/>
    <w:rsid w:val="0096265D"/>
    <w:rsid w:val="009627BC"/>
    <w:rsid w:val="00962A25"/>
    <w:rsid w:val="00962B0A"/>
    <w:rsid w:val="0096354A"/>
    <w:rsid w:val="00963A8B"/>
    <w:rsid w:val="00963EB5"/>
    <w:rsid w:val="009653D6"/>
    <w:rsid w:val="009654D5"/>
    <w:rsid w:val="0096575E"/>
    <w:rsid w:val="00966104"/>
    <w:rsid w:val="009661B5"/>
    <w:rsid w:val="009663E7"/>
    <w:rsid w:val="009663FB"/>
    <w:rsid w:val="009666A7"/>
    <w:rsid w:val="00966F22"/>
    <w:rsid w:val="009673A4"/>
    <w:rsid w:val="009673C7"/>
    <w:rsid w:val="0097048D"/>
    <w:rsid w:val="00971D2B"/>
    <w:rsid w:val="00971EBE"/>
    <w:rsid w:val="009722AD"/>
    <w:rsid w:val="00972718"/>
    <w:rsid w:val="0097292C"/>
    <w:rsid w:val="00972ACD"/>
    <w:rsid w:val="00973029"/>
    <w:rsid w:val="009735A4"/>
    <w:rsid w:val="009735AF"/>
    <w:rsid w:val="00973A2F"/>
    <w:rsid w:val="00973C43"/>
    <w:rsid w:val="00973E7F"/>
    <w:rsid w:val="00974626"/>
    <w:rsid w:val="00974A21"/>
    <w:rsid w:val="00974B8B"/>
    <w:rsid w:val="00974D15"/>
    <w:rsid w:val="00976100"/>
    <w:rsid w:val="009767D1"/>
    <w:rsid w:val="00976DCC"/>
    <w:rsid w:val="0097753A"/>
    <w:rsid w:val="00977987"/>
    <w:rsid w:val="00977BE7"/>
    <w:rsid w:val="00977E3C"/>
    <w:rsid w:val="0098068B"/>
    <w:rsid w:val="00981A5A"/>
    <w:rsid w:val="00981ABE"/>
    <w:rsid w:val="009821C9"/>
    <w:rsid w:val="00982625"/>
    <w:rsid w:val="00982755"/>
    <w:rsid w:val="009833D8"/>
    <w:rsid w:val="009837B2"/>
    <w:rsid w:val="00984757"/>
    <w:rsid w:val="0098483B"/>
    <w:rsid w:val="009849C2"/>
    <w:rsid w:val="00984A5F"/>
    <w:rsid w:val="00984ECC"/>
    <w:rsid w:val="00984ED7"/>
    <w:rsid w:val="00985327"/>
    <w:rsid w:val="009853DD"/>
    <w:rsid w:val="00985412"/>
    <w:rsid w:val="00985750"/>
    <w:rsid w:val="00985B25"/>
    <w:rsid w:val="00985BA1"/>
    <w:rsid w:val="00985D4E"/>
    <w:rsid w:val="00985D7C"/>
    <w:rsid w:val="00987336"/>
    <w:rsid w:val="0099099C"/>
    <w:rsid w:val="00990D47"/>
    <w:rsid w:val="00991064"/>
    <w:rsid w:val="0099162B"/>
    <w:rsid w:val="00991698"/>
    <w:rsid w:val="00991919"/>
    <w:rsid w:val="00991A4B"/>
    <w:rsid w:val="00991E2D"/>
    <w:rsid w:val="00992333"/>
    <w:rsid w:val="00993EB5"/>
    <w:rsid w:val="00994D5B"/>
    <w:rsid w:val="00994DA0"/>
    <w:rsid w:val="00994EE7"/>
    <w:rsid w:val="009964BB"/>
    <w:rsid w:val="00996772"/>
    <w:rsid w:val="00996796"/>
    <w:rsid w:val="00996BD9"/>
    <w:rsid w:val="0099702B"/>
    <w:rsid w:val="00997543"/>
    <w:rsid w:val="009975B6"/>
    <w:rsid w:val="009A0230"/>
    <w:rsid w:val="009A0875"/>
    <w:rsid w:val="009A135F"/>
    <w:rsid w:val="009A1471"/>
    <w:rsid w:val="009A16D2"/>
    <w:rsid w:val="009A1C94"/>
    <w:rsid w:val="009A2AA7"/>
    <w:rsid w:val="009A2F32"/>
    <w:rsid w:val="009A3432"/>
    <w:rsid w:val="009A43F3"/>
    <w:rsid w:val="009A44F4"/>
    <w:rsid w:val="009A46BF"/>
    <w:rsid w:val="009A485C"/>
    <w:rsid w:val="009A4FAE"/>
    <w:rsid w:val="009A56EF"/>
    <w:rsid w:val="009A5E72"/>
    <w:rsid w:val="009A64A5"/>
    <w:rsid w:val="009A707D"/>
    <w:rsid w:val="009A7505"/>
    <w:rsid w:val="009A7982"/>
    <w:rsid w:val="009A798A"/>
    <w:rsid w:val="009B072A"/>
    <w:rsid w:val="009B09C5"/>
    <w:rsid w:val="009B0A7F"/>
    <w:rsid w:val="009B0FEE"/>
    <w:rsid w:val="009B1989"/>
    <w:rsid w:val="009B1ABE"/>
    <w:rsid w:val="009B207F"/>
    <w:rsid w:val="009B2C54"/>
    <w:rsid w:val="009B3C16"/>
    <w:rsid w:val="009B3C6E"/>
    <w:rsid w:val="009B4266"/>
    <w:rsid w:val="009B448E"/>
    <w:rsid w:val="009B479E"/>
    <w:rsid w:val="009B4CA5"/>
    <w:rsid w:val="009B4D61"/>
    <w:rsid w:val="009B4E42"/>
    <w:rsid w:val="009B61AF"/>
    <w:rsid w:val="009B6849"/>
    <w:rsid w:val="009B770F"/>
    <w:rsid w:val="009B7E27"/>
    <w:rsid w:val="009B7E4A"/>
    <w:rsid w:val="009C02E6"/>
    <w:rsid w:val="009C0BBC"/>
    <w:rsid w:val="009C0D7C"/>
    <w:rsid w:val="009C15AC"/>
    <w:rsid w:val="009C1F54"/>
    <w:rsid w:val="009C21BA"/>
    <w:rsid w:val="009C21BF"/>
    <w:rsid w:val="009C234A"/>
    <w:rsid w:val="009C2556"/>
    <w:rsid w:val="009C2911"/>
    <w:rsid w:val="009C2B41"/>
    <w:rsid w:val="009C2E5D"/>
    <w:rsid w:val="009C34AF"/>
    <w:rsid w:val="009C36EC"/>
    <w:rsid w:val="009C39CA"/>
    <w:rsid w:val="009C39D7"/>
    <w:rsid w:val="009C3CE0"/>
    <w:rsid w:val="009C4D21"/>
    <w:rsid w:val="009C551F"/>
    <w:rsid w:val="009C5C71"/>
    <w:rsid w:val="009C602B"/>
    <w:rsid w:val="009C62CC"/>
    <w:rsid w:val="009C64F6"/>
    <w:rsid w:val="009C66EC"/>
    <w:rsid w:val="009C6E5F"/>
    <w:rsid w:val="009C745B"/>
    <w:rsid w:val="009C793F"/>
    <w:rsid w:val="009C7BF0"/>
    <w:rsid w:val="009D034E"/>
    <w:rsid w:val="009D0485"/>
    <w:rsid w:val="009D0C34"/>
    <w:rsid w:val="009D139A"/>
    <w:rsid w:val="009D164B"/>
    <w:rsid w:val="009D171F"/>
    <w:rsid w:val="009D176B"/>
    <w:rsid w:val="009D1B23"/>
    <w:rsid w:val="009D2CD7"/>
    <w:rsid w:val="009D4ABE"/>
    <w:rsid w:val="009D5495"/>
    <w:rsid w:val="009D570D"/>
    <w:rsid w:val="009D58C3"/>
    <w:rsid w:val="009D5B5C"/>
    <w:rsid w:val="009D5E49"/>
    <w:rsid w:val="009D67BA"/>
    <w:rsid w:val="009D6E49"/>
    <w:rsid w:val="009D7455"/>
    <w:rsid w:val="009D769A"/>
    <w:rsid w:val="009D7C2E"/>
    <w:rsid w:val="009D7F16"/>
    <w:rsid w:val="009E02F5"/>
    <w:rsid w:val="009E062B"/>
    <w:rsid w:val="009E064C"/>
    <w:rsid w:val="009E0C27"/>
    <w:rsid w:val="009E0D8B"/>
    <w:rsid w:val="009E11E8"/>
    <w:rsid w:val="009E13AC"/>
    <w:rsid w:val="009E13FE"/>
    <w:rsid w:val="009E276E"/>
    <w:rsid w:val="009E33F3"/>
    <w:rsid w:val="009E3BE9"/>
    <w:rsid w:val="009E3D4E"/>
    <w:rsid w:val="009E40AF"/>
    <w:rsid w:val="009E4292"/>
    <w:rsid w:val="009E4C9A"/>
    <w:rsid w:val="009E5177"/>
    <w:rsid w:val="009E5719"/>
    <w:rsid w:val="009E578C"/>
    <w:rsid w:val="009E70E3"/>
    <w:rsid w:val="009E74F4"/>
    <w:rsid w:val="009E7BA0"/>
    <w:rsid w:val="009F000B"/>
    <w:rsid w:val="009F0A13"/>
    <w:rsid w:val="009F21FF"/>
    <w:rsid w:val="009F28C3"/>
    <w:rsid w:val="009F28DC"/>
    <w:rsid w:val="009F3185"/>
    <w:rsid w:val="009F37E1"/>
    <w:rsid w:val="009F3914"/>
    <w:rsid w:val="009F3A26"/>
    <w:rsid w:val="009F3BDF"/>
    <w:rsid w:val="009F42CC"/>
    <w:rsid w:val="009F4435"/>
    <w:rsid w:val="009F443F"/>
    <w:rsid w:val="009F4812"/>
    <w:rsid w:val="009F4863"/>
    <w:rsid w:val="009F490D"/>
    <w:rsid w:val="009F4B9F"/>
    <w:rsid w:val="009F516C"/>
    <w:rsid w:val="009F544F"/>
    <w:rsid w:val="009F55B9"/>
    <w:rsid w:val="009F58CC"/>
    <w:rsid w:val="009F58CE"/>
    <w:rsid w:val="009F65E2"/>
    <w:rsid w:val="009F7009"/>
    <w:rsid w:val="009F70A9"/>
    <w:rsid w:val="009F7B59"/>
    <w:rsid w:val="00A0009F"/>
    <w:rsid w:val="00A00DC9"/>
    <w:rsid w:val="00A00E9C"/>
    <w:rsid w:val="00A01053"/>
    <w:rsid w:val="00A015DC"/>
    <w:rsid w:val="00A020E2"/>
    <w:rsid w:val="00A03A87"/>
    <w:rsid w:val="00A044F3"/>
    <w:rsid w:val="00A04C02"/>
    <w:rsid w:val="00A058E2"/>
    <w:rsid w:val="00A05973"/>
    <w:rsid w:val="00A05A0B"/>
    <w:rsid w:val="00A05AC4"/>
    <w:rsid w:val="00A062CA"/>
    <w:rsid w:val="00A06980"/>
    <w:rsid w:val="00A07E26"/>
    <w:rsid w:val="00A10933"/>
    <w:rsid w:val="00A10A68"/>
    <w:rsid w:val="00A1137A"/>
    <w:rsid w:val="00A11782"/>
    <w:rsid w:val="00A11B16"/>
    <w:rsid w:val="00A12F39"/>
    <w:rsid w:val="00A1338E"/>
    <w:rsid w:val="00A143C7"/>
    <w:rsid w:val="00A14CA7"/>
    <w:rsid w:val="00A14FF8"/>
    <w:rsid w:val="00A155EF"/>
    <w:rsid w:val="00A15AEB"/>
    <w:rsid w:val="00A15D9F"/>
    <w:rsid w:val="00A16164"/>
    <w:rsid w:val="00A162E9"/>
    <w:rsid w:val="00A16743"/>
    <w:rsid w:val="00A16C16"/>
    <w:rsid w:val="00A1710C"/>
    <w:rsid w:val="00A17A67"/>
    <w:rsid w:val="00A20023"/>
    <w:rsid w:val="00A20124"/>
    <w:rsid w:val="00A20578"/>
    <w:rsid w:val="00A21526"/>
    <w:rsid w:val="00A217D7"/>
    <w:rsid w:val="00A21A89"/>
    <w:rsid w:val="00A21CA6"/>
    <w:rsid w:val="00A22443"/>
    <w:rsid w:val="00A22755"/>
    <w:rsid w:val="00A22C8F"/>
    <w:rsid w:val="00A23748"/>
    <w:rsid w:val="00A23D88"/>
    <w:rsid w:val="00A23EE2"/>
    <w:rsid w:val="00A24023"/>
    <w:rsid w:val="00A2423A"/>
    <w:rsid w:val="00A246C5"/>
    <w:rsid w:val="00A24D25"/>
    <w:rsid w:val="00A24EC4"/>
    <w:rsid w:val="00A24F2D"/>
    <w:rsid w:val="00A24F40"/>
    <w:rsid w:val="00A25186"/>
    <w:rsid w:val="00A25296"/>
    <w:rsid w:val="00A256C8"/>
    <w:rsid w:val="00A258F4"/>
    <w:rsid w:val="00A25B96"/>
    <w:rsid w:val="00A26212"/>
    <w:rsid w:val="00A26661"/>
    <w:rsid w:val="00A266F7"/>
    <w:rsid w:val="00A26982"/>
    <w:rsid w:val="00A26EF6"/>
    <w:rsid w:val="00A27335"/>
    <w:rsid w:val="00A27F00"/>
    <w:rsid w:val="00A30009"/>
    <w:rsid w:val="00A30013"/>
    <w:rsid w:val="00A32B7B"/>
    <w:rsid w:val="00A32D99"/>
    <w:rsid w:val="00A32F6B"/>
    <w:rsid w:val="00A33833"/>
    <w:rsid w:val="00A33D92"/>
    <w:rsid w:val="00A346C2"/>
    <w:rsid w:val="00A34F85"/>
    <w:rsid w:val="00A3563A"/>
    <w:rsid w:val="00A366A0"/>
    <w:rsid w:val="00A36745"/>
    <w:rsid w:val="00A3697B"/>
    <w:rsid w:val="00A36C30"/>
    <w:rsid w:val="00A37419"/>
    <w:rsid w:val="00A37985"/>
    <w:rsid w:val="00A37DC2"/>
    <w:rsid w:val="00A401FB"/>
    <w:rsid w:val="00A40405"/>
    <w:rsid w:val="00A40DB2"/>
    <w:rsid w:val="00A41014"/>
    <w:rsid w:val="00A41071"/>
    <w:rsid w:val="00A42490"/>
    <w:rsid w:val="00A42F0A"/>
    <w:rsid w:val="00A42FD2"/>
    <w:rsid w:val="00A43CC4"/>
    <w:rsid w:val="00A43D44"/>
    <w:rsid w:val="00A4406D"/>
    <w:rsid w:val="00A447E1"/>
    <w:rsid w:val="00A44908"/>
    <w:rsid w:val="00A44C9C"/>
    <w:rsid w:val="00A44F6E"/>
    <w:rsid w:val="00A45DB5"/>
    <w:rsid w:val="00A46F0B"/>
    <w:rsid w:val="00A46FAA"/>
    <w:rsid w:val="00A477E7"/>
    <w:rsid w:val="00A479DB"/>
    <w:rsid w:val="00A50B80"/>
    <w:rsid w:val="00A50BF6"/>
    <w:rsid w:val="00A50E61"/>
    <w:rsid w:val="00A51947"/>
    <w:rsid w:val="00A519FB"/>
    <w:rsid w:val="00A52540"/>
    <w:rsid w:val="00A525B6"/>
    <w:rsid w:val="00A52F77"/>
    <w:rsid w:val="00A533AF"/>
    <w:rsid w:val="00A53418"/>
    <w:rsid w:val="00A54245"/>
    <w:rsid w:val="00A54494"/>
    <w:rsid w:val="00A54701"/>
    <w:rsid w:val="00A5481C"/>
    <w:rsid w:val="00A54E1F"/>
    <w:rsid w:val="00A552FE"/>
    <w:rsid w:val="00A5604A"/>
    <w:rsid w:val="00A56114"/>
    <w:rsid w:val="00A57650"/>
    <w:rsid w:val="00A607B9"/>
    <w:rsid w:val="00A60806"/>
    <w:rsid w:val="00A6081A"/>
    <w:rsid w:val="00A61360"/>
    <w:rsid w:val="00A617A1"/>
    <w:rsid w:val="00A6370E"/>
    <w:rsid w:val="00A63933"/>
    <w:rsid w:val="00A6402B"/>
    <w:rsid w:val="00A6412B"/>
    <w:rsid w:val="00A64A36"/>
    <w:rsid w:val="00A65009"/>
    <w:rsid w:val="00A663C5"/>
    <w:rsid w:val="00A66D54"/>
    <w:rsid w:val="00A67385"/>
    <w:rsid w:val="00A67D41"/>
    <w:rsid w:val="00A67E6E"/>
    <w:rsid w:val="00A707D0"/>
    <w:rsid w:val="00A711BC"/>
    <w:rsid w:val="00A718B4"/>
    <w:rsid w:val="00A72519"/>
    <w:rsid w:val="00A72706"/>
    <w:rsid w:val="00A72A6A"/>
    <w:rsid w:val="00A72A8F"/>
    <w:rsid w:val="00A72C92"/>
    <w:rsid w:val="00A73281"/>
    <w:rsid w:val="00A733F0"/>
    <w:rsid w:val="00A73B21"/>
    <w:rsid w:val="00A74565"/>
    <w:rsid w:val="00A74DA4"/>
    <w:rsid w:val="00A75602"/>
    <w:rsid w:val="00A759F1"/>
    <w:rsid w:val="00A75A8C"/>
    <w:rsid w:val="00A75DE3"/>
    <w:rsid w:val="00A75EEE"/>
    <w:rsid w:val="00A76726"/>
    <w:rsid w:val="00A775F0"/>
    <w:rsid w:val="00A80087"/>
    <w:rsid w:val="00A80914"/>
    <w:rsid w:val="00A80CA8"/>
    <w:rsid w:val="00A81674"/>
    <w:rsid w:val="00A81A50"/>
    <w:rsid w:val="00A81B28"/>
    <w:rsid w:val="00A81E8E"/>
    <w:rsid w:val="00A820CA"/>
    <w:rsid w:val="00A82491"/>
    <w:rsid w:val="00A82646"/>
    <w:rsid w:val="00A82B9E"/>
    <w:rsid w:val="00A831CB"/>
    <w:rsid w:val="00A842DF"/>
    <w:rsid w:val="00A84E2D"/>
    <w:rsid w:val="00A84F34"/>
    <w:rsid w:val="00A852CE"/>
    <w:rsid w:val="00A85340"/>
    <w:rsid w:val="00A8599D"/>
    <w:rsid w:val="00A85A51"/>
    <w:rsid w:val="00A86244"/>
    <w:rsid w:val="00A86397"/>
    <w:rsid w:val="00A8686F"/>
    <w:rsid w:val="00A86B20"/>
    <w:rsid w:val="00A870D0"/>
    <w:rsid w:val="00A874D9"/>
    <w:rsid w:val="00A879A6"/>
    <w:rsid w:val="00A87FAA"/>
    <w:rsid w:val="00A9065D"/>
    <w:rsid w:val="00A90E47"/>
    <w:rsid w:val="00A90E58"/>
    <w:rsid w:val="00A90EB0"/>
    <w:rsid w:val="00A91320"/>
    <w:rsid w:val="00A91631"/>
    <w:rsid w:val="00A921BB"/>
    <w:rsid w:val="00A93B68"/>
    <w:rsid w:val="00A93CCA"/>
    <w:rsid w:val="00A9440E"/>
    <w:rsid w:val="00A945E5"/>
    <w:rsid w:val="00A959D5"/>
    <w:rsid w:val="00A96689"/>
    <w:rsid w:val="00A9673E"/>
    <w:rsid w:val="00A96E39"/>
    <w:rsid w:val="00A96E6A"/>
    <w:rsid w:val="00AA0157"/>
    <w:rsid w:val="00AA0229"/>
    <w:rsid w:val="00AA03C7"/>
    <w:rsid w:val="00AA086B"/>
    <w:rsid w:val="00AA0C2E"/>
    <w:rsid w:val="00AA0E49"/>
    <w:rsid w:val="00AA100E"/>
    <w:rsid w:val="00AA11CC"/>
    <w:rsid w:val="00AA1C1F"/>
    <w:rsid w:val="00AA1FB8"/>
    <w:rsid w:val="00AA202D"/>
    <w:rsid w:val="00AA32B8"/>
    <w:rsid w:val="00AA3B45"/>
    <w:rsid w:val="00AA3D14"/>
    <w:rsid w:val="00AA56EE"/>
    <w:rsid w:val="00AA5C09"/>
    <w:rsid w:val="00AA60CE"/>
    <w:rsid w:val="00AA7012"/>
    <w:rsid w:val="00AA7320"/>
    <w:rsid w:val="00AA7798"/>
    <w:rsid w:val="00AB01D3"/>
    <w:rsid w:val="00AB1204"/>
    <w:rsid w:val="00AB13A0"/>
    <w:rsid w:val="00AB1865"/>
    <w:rsid w:val="00AB1EBE"/>
    <w:rsid w:val="00AB1ED5"/>
    <w:rsid w:val="00AB1FEF"/>
    <w:rsid w:val="00AB20DE"/>
    <w:rsid w:val="00AB346D"/>
    <w:rsid w:val="00AB3D2E"/>
    <w:rsid w:val="00AB44BD"/>
    <w:rsid w:val="00AB4B81"/>
    <w:rsid w:val="00AB507B"/>
    <w:rsid w:val="00AB52B2"/>
    <w:rsid w:val="00AB592F"/>
    <w:rsid w:val="00AB5E67"/>
    <w:rsid w:val="00AB5FE9"/>
    <w:rsid w:val="00AB615F"/>
    <w:rsid w:val="00AB633D"/>
    <w:rsid w:val="00AB6409"/>
    <w:rsid w:val="00AB643E"/>
    <w:rsid w:val="00AB69AA"/>
    <w:rsid w:val="00AB738D"/>
    <w:rsid w:val="00AB7BA2"/>
    <w:rsid w:val="00AB7E78"/>
    <w:rsid w:val="00AC0121"/>
    <w:rsid w:val="00AC01BC"/>
    <w:rsid w:val="00AC1506"/>
    <w:rsid w:val="00AC1600"/>
    <w:rsid w:val="00AC21E4"/>
    <w:rsid w:val="00AC251C"/>
    <w:rsid w:val="00AC2639"/>
    <w:rsid w:val="00AC264F"/>
    <w:rsid w:val="00AC2EA5"/>
    <w:rsid w:val="00AC3849"/>
    <w:rsid w:val="00AC39A5"/>
    <w:rsid w:val="00AC3C92"/>
    <w:rsid w:val="00AC3D3F"/>
    <w:rsid w:val="00AC45C7"/>
    <w:rsid w:val="00AC4841"/>
    <w:rsid w:val="00AC4B9A"/>
    <w:rsid w:val="00AC5874"/>
    <w:rsid w:val="00AC644D"/>
    <w:rsid w:val="00AC6899"/>
    <w:rsid w:val="00AC6B37"/>
    <w:rsid w:val="00AC6DE0"/>
    <w:rsid w:val="00AC6E57"/>
    <w:rsid w:val="00AC770F"/>
    <w:rsid w:val="00AC7FAB"/>
    <w:rsid w:val="00AD0082"/>
    <w:rsid w:val="00AD067F"/>
    <w:rsid w:val="00AD0744"/>
    <w:rsid w:val="00AD0810"/>
    <w:rsid w:val="00AD0C8D"/>
    <w:rsid w:val="00AD0F27"/>
    <w:rsid w:val="00AD0F35"/>
    <w:rsid w:val="00AD1C48"/>
    <w:rsid w:val="00AD33D4"/>
    <w:rsid w:val="00AD37E5"/>
    <w:rsid w:val="00AD458F"/>
    <w:rsid w:val="00AD4719"/>
    <w:rsid w:val="00AD4A33"/>
    <w:rsid w:val="00AD4CB1"/>
    <w:rsid w:val="00AD4D6D"/>
    <w:rsid w:val="00AD543B"/>
    <w:rsid w:val="00AD56C2"/>
    <w:rsid w:val="00AD5782"/>
    <w:rsid w:val="00AD5BB4"/>
    <w:rsid w:val="00AD5BDA"/>
    <w:rsid w:val="00AD6572"/>
    <w:rsid w:val="00AD695C"/>
    <w:rsid w:val="00AD6E9A"/>
    <w:rsid w:val="00AD7B47"/>
    <w:rsid w:val="00AE00A2"/>
    <w:rsid w:val="00AE01B4"/>
    <w:rsid w:val="00AE2F2F"/>
    <w:rsid w:val="00AE315C"/>
    <w:rsid w:val="00AE317C"/>
    <w:rsid w:val="00AE37AD"/>
    <w:rsid w:val="00AE3BB3"/>
    <w:rsid w:val="00AE440E"/>
    <w:rsid w:val="00AE49D5"/>
    <w:rsid w:val="00AE4C2A"/>
    <w:rsid w:val="00AE62F4"/>
    <w:rsid w:val="00AE6569"/>
    <w:rsid w:val="00AE65C5"/>
    <w:rsid w:val="00AE6F9D"/>
    <w:rsid w:val="00AE6FB2"/>
    <w:rsid w:val="00AF0F86"/>
    <w:rsid w:val="00AF1052"/>
    <w:rsid w:val="00AF19F3"/>
    <w:rsid w:val="00AF1F85"/>
    <w:rsid w:val="00AF231A"/>
    <w:rsid w:val="00AF2546"/>
    <w:rsid w:val="00AF2B4E"/>
    <w:rsid w:val="00AF35F4"/>
    <w:rsid w:val="00AF4618"/>
    <w:rsid w:val="00AF4AE7"/>
    <w:rsid w:val="00AF4F3E"/>
    <w:rsid w:val="00AF52B1"/>
    <w:rsid w:val="00AF65D0"/>
    <w:rsid w:val="00AF6693"/>
    <w:rsid w:val="00AF70E9"/>
    <w:rsid w:val="00AF72E5"/>
    <w:rsid w:val="00AF73A2"/>
    <w:rsid w:val="00AF75E5"/>
    <w:rsid w:val="00AF7CC4"/>
    <w:rsid w:val="00B007DB"/>
    <w:rsid w:val="00B00F63"/>
    <w:rsid w:val="00B01C6B"/>
    <w:rsid w:val="00B022AF"/>
    <w:rsid w:val="00B033D0"/>
    <w:rsid w:val="00B03AE5"/>
    <w:rsid w:val="00B045A9"/>
    <w:rsid w:val="00B045D6"/>
    <w:rsid w:val="00B054C6"/>
    <w:rsid w:val="00B0551C"/>
    <w:rsid w:val="00B05EEE"/>
    <w:rsid w:val="00B05F30"/>
    <w:rsid w:val="00B06394"/>
    <w:rsid w:val="00B0755C"/>
    <w:rsid w:val="00B076C5"/>
    <w:rsid w:val="00B07EAE"/>
    <w:rsid w:val="00B1064F"/>
    <w:rsid w:val="00B1077D"/>
    <w:rsid w:val="00B10811"/>
    <w:rsid w:val="00B11423"/>
    <w:rsid w:val="00B11841"/>
    <w:rsid w:val="00B11BD0"/>
    <w:rsid w:val="00B12D75"/>
    <w:rsid w:val="00B13E18"/>
    <w:rsid w:val="00B14537"/>
    <w:rsid w:val="00B1471D"/>
    <w:rsid w:val="00B1487F"/>
    <w:rsid w:val="00B15319"/>
    <w:rsid w:val="00B1620D"/>
    <w:rsid w:val="00B17327"/>
    <w:rsid w:val="00B201D3"/>
    <w:rsid w:val="00B203E6"/>
    <w:rsid w:val="00B2049A"/>
    <w:rsid w:val="00B204A5"/>
    <w:rsid w:val="00B20722"/>
    <w:rsid w:val="00B2083B"/>
    <w:rsid w:val="00B20F9F"/>
    <w:rsid w:val="00B21A3A"/>
    <w:rsid w:val="00B21B4C"/>
    <w:rsid w:val="00B21CD4"/>
    <w:rsid w:val="00B21F41"/>
    <w:rsid w:val="00B2217D"/>
    <w:rsid w:val="00B2225A"/>
    <w:rsid w:val="00B23003"/>
    <w:rsid w:val="00B23535"/>
    <w:rsid w:val="00B2395D"/>
    <w:rsid w:val="00B23FF2"/>
    <w:rsid w:val="00B24748"/>
    <w:rsid w:val="00B252E6"/>
    <w:rsid w:val="00B26057"/>
    <w:rsid w:val="00B26076"/>
    <w:rsid w:val="00B2616C"/>
    <w:rsid w:val="00B26763"/>
    <w:rsid w:val="00B2756A"/>
    <w:rsid w:val="00B275C8"/>
    <w:rsid w:val="00B27640"/>
    <w:rsid w:val="00B27BC7"/>
    <w:rsid w:val="00B304F3"/>
    <w:rsid w:val="00B3093D"/>
    <w:rsid w:val="00B30A97"/>
    <w:rsid w:val="00B30B61"/>
    <w:rsid w:val="00B30BE1"/>
    <w:rsid w:val="00B30FA2"/>
    <w:rsid w:val="00B311F7"/>
    <w:rsid w:val="00B31327"/>
    <w:rsid w:val="00B32292"/>
    <w:rsid w:val="00B329E6"/>
    <w:rsid w:val="00B335A3"/>
    <w:rsid w:val="00B33B21"/>
    <w:rsid w:val="00B34982"/>
    <w:rsid w:val="00B354A7"/>
    <w:rsid w:val="00B354FB"/>
    <w:rsid w:val="00B3605C"/>
    <w:rsid w:val="00B3710D"/>
    <w:rsid w:val="00B37FD3"/>
    <w:rsid w:val="00B40FD8"/>
    <w:rsid w:val="00B4230B"/>
    <w:rsid w:val="00B42371"/>
    <w:rsid w:val="00B4274D"/>
    <w:rsid w:val="00B435E7"/>
    <w:rsid w:val="00B4394B"/>
    <w:rsid w:val="00B43CB7"/>
    <w:rsid w:val="00B444E7"/>
    <w:rsid w:val="00B445A4"/>
    <w:rsid w:val="00B44835"/>
    <w:rsid w:val="00B459F6"/>
    <w:rsid w:val="00B45A0C"/>
    <w:rsid w:val="00B45DB9"/>
    <w:rsid w:val="00B46A75"/>
    <w:rsid w:val="00B47047"/>
    <w:rsid w:val="00B47360"/>
    <w:rsid w:val="00B4749A"/>
    <w:rsid w:val="00B474DB"/>
    <w:rsid w:val="00B475B6"/>
    <w:rsid w:val="00B47610"/>
    <w:rsid w:val="00B47FC4"/>
    <w:rsid w:val="00B501FD"/>
    <w:rsid w:val="00B5047C"/>
    <w:rsid w:val="00B50681"/>
    <w:rsid w:val="00B50AF5"/>
    <w:rsid w:val="00B50D09"/>
    <w:rsid w:val="00B50E45"/>
    <w:rsid w:val="00B50FE6"/>
    <w:rsid w:val="00B51371"/>
    <w:rsid w:val="00B5147F"/>
    <w:rsid w:val="00B51DF4"/>
    <w:rsid w:val="00B539B4"/>
    <w:rsid w:val="00B542CF"/>
    <w:rsid w:val="00B54633"/>
    <w:rsid w:val="00B548D0"/>
    <w:rsid w:val="00B5492C"/>
    <w:rsid w:val="00B554CE"/>
    <w:rsid w:val="00B561F0"/>
    <w:rsid w:val="00B569C3"/>
    <w:rsid w:val="00B569E9"/>
    <w:rsid w:val="00B571C1"/>
    <w:rsid w:val="00B572FE"/>
    <w:rsid w:val="00B57421"/>
    <w:rsid w:val="00B57C32"/>
    <w:rsid w:val="00B605B9"/>
    <w:rsid w:val="00B60F4A"/>
    <w:rsid w:val="00B61259"/>
    <w:rsid w:val="00B61400"/>
    <w:rsid w:val="00B616D7"/>
    <w:rsid w:val="00B6190D"/>
    <w:rsid w:val="00B61BC9"/>
    <w:rsid w:val="00B62A28"/>
    <w:rsid w:val="00B62B31"/>
    <w:rsid w:val="00B62C29"/>
    <w:rsid w:val="00B62C35"/>
    <w:rsid w:val="00B639B6"/>
    <w:rsid w:val="00B63ED8"/>
    <w:rsid w:val="00B645A9"/>
    <w:rsid w:val="00B64C68"/>
    <w:rsid w:val="00B6508B"/>
    <w:rsid w:val="00B650EF"/>
    <w:rsid w:val="00B6552C"/>
    <w:rsid w:val="00B65661"/>
    <w:rsid w:val="00B6589C"/>
    <w:rsid w:val="00B65AEC"/>
    <w:rsid w:val="00B65D72"/>
    <w:rsid w:val="00B65F5E"/>
    <w:rsid w:val="00B66490"/>
    <w:rsid w:val="00B66BA5"/>
    <w:rsid w:val="00B70774"/>
    <w:rsid w:val="00B70A98"/>
    <w:rsid w:val="00B70B3E"/>
    <w:rsid w:val="00B71D75"/>
    <w:rsid w:val="00B7235D"/>
    <w:rsid w:val="00B73063"/>
    <w:rsid w:val="00B7315B"/>
    <w:rsid w:val="00B73FF2"/>
    <w:rsid w:val="00B7404E"/>
    <w:rsid w:val="00B7503C"/>
    <w:rsid w:val="00B75448"/>
    <w:rsid w:val="00B754A9"/>
    <w:rsid w:val="00B75DDB"/>
    <w:rsid w:val="00B75E04"/>
    <w:rsid w:val="00B761F0"/>
    <w:rsid w:val="00B76273"/>
    <w:rsid w:val="00B77098"/>
    <w:rsid w:val="00B77939"/>
    <w:rsid w:val="00B77BF9"/>
    <w:rsid w:val="00B77F00"/>
    <w:rsid w:val="00B801A1"/>
    <w:rsid w:val="00B801E8"/>
    <w:rsid w:val="00B808CA"/>
    <w:rsid w:val="00B80B05"/>
    <w:rsid w:val="00B80C6F"/>
    <w:rsid w:val="00B80D0E"/>
    <w:rsid w:val="00B80F06"/>
    <w:rsid w:val="00B813BB"/>
    <w:rsid w:val="00B818EB"/>
    <w:rsid w:val="00B81CCA"/>
    <w:rsid w:val="00B81EC5"/>
    <w:rsid w:val="00B82678"/>
    <w:rsid w:val="00B8289F"/>
    <w:rsid w:val="00B836A3"/>
    <w:rsid w:val="00B837DC"/>
    <w:rsid w:val="00B843EB"/>
    <w:rsid w:val="00B844C0"/>
    <w:rsid w:val="00B84B3B"/>
    <w:rsid w:val="00B84B90"/>
    <w:rsid w:val="00B85DD9"/>
    <w:rsid w:val="00B86435"/>
    <w:rsid w:val="00B86715"/>
    <w:rsid w:val="00B90098"/>
    <w:rsid w:val="00B90F3E"/>
    <w:rsid w:val="00B927A9"/>
    <w:rsid w:val="00B92DBE"/>
    <w:rsid w:val="00B930FA"/>
    <w:rsid w:val="00B93890"/>
    <w:rsid w:val="00B93B3C"/>
    <w:rsid w:val="00B9414A"/>
    <w:rsid w:val="00B942CD"/>
    <w:rsid w:val="00B94651"/>
    <w:rsid w:val="00B94A7D"/>
    <w:rsid w:val="00B95A4A"/>
    <w:rsid w:val="00B95D11"/>
    <w:rsid w:val="00B96978"/>
    <w:rsid w:val="00B97FF7"/>
    <w:rsid w:val="00BA06FB"/>
    <w:rsid w:val="00BA08B3"/>
    <w:rsid w:val="00BA0932"/>
    <w:rsid w:val="00BA095F"/>
    <w:rsid w:val="00BA0E58"/>
    <w:rsid w:val="00BA0F9B"/>
    <w:rsid w:val="00BA11AD"/>
    <w:rsid w:val="00BA132E"/>
    <w:rsid w:val="00BA17F5"/>
    <w:rsid w:val="00BA1BA6"/>
    <w:rsid w:val="00BA26D9"/>
    <w:rsid w:val="00BA39CA"/>
    <w:rsid w:val="00BA3A5B"/>
    <w:rsid w:val="00BA3B1A"/>
    <w:rsid w:val="00BA3C08"/>
    <w:rsid w:val="00BA4D58"/>
    <w:rsid w:val="00BA51FA"/>
    <w:rsid w:val="00BA52A7"/>
    <w:rsid w:val="00BA54F8"/>
    <w:rsid w:val="00BA57FB"/>
    <w:rsid w:val="00BA5CA8"/>
    <w:rsid w:val="00BA6BAC"/>
    <w:rsid w:val="00BA6DC7"/>
    <w:rsid w:val="00BA73CD"/>
    <w:rsid w:val="00BA74FA"/>
    <w:rsid w:val="00BA7A2D"/>
    <w:rsid w:val="00BA7E36"/>
    <w:rsid w:val="00BB0B76"/>
    <w:rsid w:val="00BB0EF5"/>
    <w:rsid w:val="00BB1915"/>
    <w:rsid w:val="00BB19AB"/>
    <w:rsid w:val="00BB2073"/>
    <w:rsid w:val="00BB2909"/>
    <w:rsid w:val="00BB2A16"/>
    <w:rsid w:val="00BB2D18"/>
    <w:rsid w:val="00BB2D75"/>
    <w:rsid w:val="00BB2F58"/>
    <w:rsid w:val="00BB33B7"/>
    <w:rsid w:val="00BB354E"/>
    <w:rsid w:val="00BB517A"/>
    <w:rsid w:val="00BB55F5"/>
    <w:rsid w:val="00BB5924"/>
    <w:rsid w:val="00BB5978"/>
    <w:rsid w:val="00BB5A84"/>
    <w:rsid w:val="00BB62E1"/>
    <w:rsid w:val="00BB6549"/>
    <w:rsid w:val="00BB6C4F"/>
    <w:rsid w:val="00BB6D58"/>
    <w:rsid w:val="00BC01B9"/>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0CA"/>
    <w:rsid w:val="00BC5A3C"/>
    <w:rsid w:val="00BC5C19"/>
    <w:rsid w:val="00BC5E5F"/>
    <w:rsid w:val="00BC655D"/>
    <w:rsid w:val="00BC697A"/>
    <w:rsid w:val="00BC6990"/>
    <w:rsid w:val="00BC69D8"/>
    <w:rsid w:val="00BC6F93"/>
    <w:rsid w:val="00BC7356"/>
    <w:rsid w:val="00BC79CB"/>
    <w:rsid w:val="00BD029F"/>
    <w:rsid w:val="00BD0BF7"/>
    <w:rsid w:val="00BD0C96"/>
    <w:rsid w:val="00BD0FE2"/>
    <w:rsid w:val="00BD1C5B"/>
    <w:rsid w:val="00BD202A"/>
    <w:rsid w:val="00BD232B"/>
    <w:rsid w:val="00BD2FF4"/>
    <w:rsid w:val="00BD3B25"/>
    <w:rsid w:val="00BD3FCD"/>
    <w:rsid w:val="00BD40BC"/>
    <w:rsid w:val="00BD41C1"/>
    <w:rsid w:val="00BD4A9C"/>
    <w:rsid w:val="00BD4CB4"/>
    <w:rsid w:val="00BD4D7B"/>
    <w:rsid w:val="00BD54E7"/>
    <w:rsid w:val="00BD56B6"/>
    <w:rsid w:val="00BD5855"/>
    <w:rsid w:val="00BD5968"/>
    <w:rsid w:val="00BD6408"/>
    <w:rsid w:val="00BD6585"/>
    <w:rsid w:val="00BD7007"/>
    <w:rsid w:val="00BD71DC"/>
    <w:rsid w:val="00BD770E"/>
    <w:rsid w:val="00BD7AB2"/>
    <w:rsid w:val="00BD7B07"/>
    <w:rsid w:val="00BE0E6E"/>
    <w:rsid w:val="00BE1183"/>
    <w:rsid w:val="00BE13F9"/>
    <w:rsid w:val="00BE1836"/>
    <w:rsid w:val="00BE18ED"/>
    <w:rsid w:val="00BE1C37"/>
    <w:rsid w:val="00BE1D53"/>
    <w:rsid w:val="00BE1DD1"/>
    <w:rsid w:val="00BE1DD4"/>
    <w:rsid w:val="00BE1F62"/>
    <w:rsid w:val="00BE2746"/>
    <w:rsid w:val="00BE2FB4"/>
    <w:rsid w:val="00BE31ED"/>
    <w:rsid w:val="00BE35B2"/>
    <w:rsid w:val="00BE3913"/>
    <w:rsid w:val="00BE546F"/>
    <w:rsid w:val="00BE56C3"/>
    <w:rsid w:val="00BE5FA5"/>
    <w:rsid w:val="00BE628A"/>
    <w:rsid w:val="00BE6C14"/>
    <w:rsid w:val="00BE6DB8"/>
    <w:rsid w:val="00BE6FA8"/>
    <w:rsid w:val="00BE749B"/>
    <w:rsid w:val="00BE7C94"/>
    <w:rsid w:val="00BF005B"/>
    <w:rsid w:val="00BF1308"/>
    <w:rsid w:val="00BF1A44"/>
    <w:rsid w:val="00BF1F37"/>
    <w:rsid w:val="00BF230D"/>
    <w:rsid w:val="00BF25BD"/>
    <w:rsid w:val="00BF268E"/>
    <w:rsid w:val="00BF28C6"/>
    <w:rsid w:val="00BF3722"/>
    <w:rsid w:val="00BF3987"/>
    <w:rsid w:val="00BF535C"/>
    <w:rsid w:val="00BF5954"/>
    <w:rsid w:val="00BF62B1"/>
    <w:rsid w:val="00BF6637"/>
    <w:rsid w:val="00BF6A62"/>
    <w:rsid w:val="00BF7A61"/>
    <w:rsid w:val="00C0018F"/>
    <w:rsid w:val="00C00830"/>
    <w:rsid w:val="00C01155"/>
    <w:rsid w:val="00C02802"/>
    <w:rsid w:val="00C03328"/>
    <w:rsid w:val="00C03386"/>
    <w:rsid w:val="00C038C4"/>
    <w:rsid w:val="00C03C42"/>
    <w:rsid w:val="00C03F60"/>
    <w:rsid w:val="00C042F1"/>
    <w:rsid w:val="00C0486A"/>
    <w:rsid w:val="00C049C8"/>
    <w:rsid w:val="00C0561E"/>
    <w:rsid w:val="00C057CC"/>
    <w:rsid w:val="00C060A4"/>
    <w:rsid w:val="00C06546"/>
    <w:rsid w:val="00C06F54"/>
    <w:rsid w:val="00C105CA"/>
    <w:rsid w:val="00C106F4"/>
    <w:rsid w:val="00C110C3"/>
    <w:rsid w:val="00C114C0"/>
    <w:rsid w:val="00C11500"/>
    <w:rsid w:val="00C11713"/>
    <w:rsid w:val="00C11E8C"/>
    <w:rsid w:val="00C11FC3"/>
    <w:rsid w:val="00C1283B"/>
    <w:rsid w:val="00C12990"/>
    <w:rsid w:val="00C135BD"/>
    <w:rsid w:val="00C13640"/>
    <w:rsid w:val="00C1369C"/>
    <w:rsid w:val="00C139AC"/>
    <w:rsid w:val="00C13BB9"/>
    <w:rsid w:val="00C13CEF"/>
    <w:rsid w:val="00C1422B"/>
    <w:rsid w:val="00C14E7E"/>
    <w:rsid w:val="00C153E0"/>
    <w:rsid w:val="00C15493"/>
    <w:rsid w:val="00C15E54"/>
    <w:rsid w:val="00C1692E"/>
    <w:rsid w:val="00C16A23"/>
    <w:rsid w:val="00C17472"/>
    <w:rsid w:val="00C2015A"/>
    <w:rsid w:val="00C204E2"/>
    <w:rsid w:val="00C21B62"/>
    <w:rsid w:val="00C21EC0"/>
    <w:rsid w:val="00C22139"/>
    <w:rsid w:val="00C2257B"/>
    <w:rsid w:val="00C2332E"/>
    <w:rsid w:val="00C24314"/>
    <w:rsid w:val="00C244C3"/>
    <w:rsid w:val="00C2459E"/>
    <w:rsid w:val="00C245D8"/>
    <w:rsid w:val="00C24627"/>
    <w:rsid w:val="00C248CC"/>
    <w:rsid w:val="00C24D5F"/>
    <w:rsid w:val="00C24F14"/>
    <w:rsid w:val="00C25026"/>
    <w:rsid w:val="00C25385"/>
    <w:rsid w:val="00C25954"/>
    <w:rsid w:val="00C25D82"/>
    <w:rsid w:val="00C26360"/>
    <w:rsid w:val="00C2667C"/>
    <w:rsid w:val="00C27BD1"/>
    <w:rsid w:val="00C27CB0"/>
    <w:rsid w:val="00C27ECD"/>
    <w:rsid w:val="00C27F12"/>
    <w:rsid w:val="00C301C8"/>
    <w:rsid w:val="00C30556"/>
    <w:rsid w:val="00C30647"/>
    <w:rsid w:val="00C30BBA"/>
    <w:rsid w:val="00C30E11"/>
    <w:rsid w:val="00C310A6"/>
    <w:rsid w:val="00C31442"/>
    <w:rsid w:val="00C319BB"/>
    <w:rsid w:val="00C31BA7"/>
    <w:rsid w:val="00C31BD9"/>
    <w:rsid w:val="00C32014"/>
    <w:rsid w:val="00C322B4"/>
    <w:rsid w:val="00C3297C"/>
    <w:rsid w:val="00C33020"/>
    <w:rsid w:val="00C334FB"/>
    <w:rsid w:val="00C339D9"/>
    <w:rsid w:val="00C34A03"/>
    <w:rsid w:val="00C34B5F"/>
    <w:rsid w:val="00C357F9"/>
    <w:rsid w:val="00C35F85"/>
    <w:rsid w:val="00C36327"/>
    <w:rsid w:val="00C36640"/>
    <w:rsid w:val="00C366F5"/>
    <w:rsid w:val="00C36A4A"/>
    <w:rsid w:val="00C36C45"/>
    <w:rsid w:val="00C37358"/>
    <w:rsid w:val="00C376A5"/>
    <w:rsid w:val="00C37A23"/>
    <w:rsid w:val="00C37BF2"/>
    <w:rsid w:val="00C37E2E"/>
    <w:rsid w:val="00C400B2"/>
    <w:rsid w:val="00C4050F"/>
    <w:rsid w:val="00C4059B"/>
    <w:rsid w:val="00C408ED"/>
    <w:rsid w:val="00C41339"/>
    <w:rsid w:val="00C4186C"/>
    <w:rsid w:val="00C42A1B"/>
    <w:rsid w:val="00C42B23"/>
    <w:rsid w:val="00C431E5"/>
    <w:rsid w:val="00C4407E"/>
    <w:rsid w:val="00C44114"/>
    <w:rsid w:val="00C441DC"/>
    <w:rsid w:val="00C4498E"/>
    <w:rsid w:val="00C44DDC"/>
    <w:rsid w:val="00C453FC"/>
    <w:rsid w:val="00C45C0A"/>
    <w:rsid w:val="00C4630D"/>
    <w:rsid w:val="00C46C58"/>
    <w:rsid w:val="00C47113"/>
    <w:rsid w:val="00C47785"/>
    <w:rsid w:val="00C478A4"/>
    <w:rsid w:val="00C47FC2"/>
    <w:rsid w:val="00C50252"/>
    <w:rsid w:val="00C50414"/>
    <w:rsid w:val="00C50577"/>
    <w:rsid w:val="00C50891"/>
    <w:rsid w:val="00C50B5D"/>
    <w:rsid w:val="00C50FC9"/>
    <w:rsid w:val="00C5111D"/>
    <w:rsid w:val="00C51954"/>
    <w:rsid w:val="00C51BF5"/>
    <w:rsid w:val="00C5476F"/>
    <w:rsid w:val="00C549F7"/>
    <w:rsid w:val="00C55BCE"/>
    <w:rsid w:val="00C55E68"/>
    <w:rsid w:val="00C56008"/>
    <w:rsid w:val="00C56688"/>
    <w:rsid w:val="00C5671C"/>
    <w:rsid w:val="00C569ED"/>
    <w:rsid w:val="00C56C1A"/>
    <w:rsid w:val="00C56D79"/>
    <w:rsid w:val="00C56F80"/>
    <w:rsid w:val="00C57249"/>
    <w:rsid w:val="00C572F5"/>
    <w:rsid w:val="00C5753A"/>
    <w:rsid w:val="00C57558"/>
    <w:rsid w:val="00C57A55"/>
    <w:rsid w:val="00C57E0F"/>
    <w:rsid w:val="00C57FF5"/>
    <w:rsid w:val="00C6053D"/>
    <w:rsid w:val="00C60B17"/>
    <w:rsid w:val="00C60CB3"/>
    <w:rsid w:val="00C61388"/>
    <w:rsid w:val="00C6162E"/>
    <w:rsid w:val="00C616B2"/>
    <w:rsid w:val="00C61758"/>
    <w:rsid w:val="00C62B0D"/>
    <w:rsid w:val="00C63B38"/>
    <w:rsid w:val="00C63C08"/>
    <w:rsid w:val="00C63CC6"/>
    <w:rsid w:val="00C64C61"/>
    <w:rsid w:val="00C65C26"/>
    <w:rsid w:val="00C65DA8"/>
    <w:rsid w:val="00C66104"/>
    <w:rsid w:val="00C668D4"/>
    <w:rsid w:val="00C669DC"/>
    <w:rsid w:val="00C66D9D"/>
    <w:rsid w:val="00C67281"/>
    <w:rsid w:val="00C67391"/>
    <w:rsid w:val="00C674B2"/>
    <w:rsid w:val="00C6759C"/>
    <w:rsid w:val="00C7066B"/>
    <w:rsid w:val="00C70C52"/>
    <w:rsid w:val="00C717C0"/>
    <w:rsid w:val="00C7188C"/>
    <w:rsid w:val="00C71B29"/>
    <w:rsid w:val="00C71B80"/>
    <w:rsid w:val="00C71D5C"/>
    <w:rsid w:val="00C7215B"/>
    <w:rsid w:val="00C73505"/>
    <w:rsid w:val="00C73A93"/>
    <w:rsid w:val="00C73B3B"/>
    <w:rsid w:val="00C73C43"/>
    <w:rsid w:val="00C73EBB"/>
    <w:rsid w:val="00C746D0"/>
    <w:rsid w:val="00C7496B"/>
    <w:rsid w:val="00C74D2F"/>
    <w:rsid w:val="00C76328"/>
    <w:rsid w:val="00C76397"/>
    <w:rsid w:val="00C77303"/>
    <w:rsid w:val="00C77712"/>
    <w:rsid w:val="00C80097"/>
    <w:rsid w:val="00C80251"/>
    <w:rsid w:val="00C80680"/>
    <w:rsid w:val="00C80B2A"/>
    <w:rsid w:val="00C82426"/>
    <w:rsid w:val="00C824A8"/>
    <w:rsid w:val="00C82A61"/>
    <w:rsid w:val="00C82F86"/>
    <w:rsid w:val="00C83A80"/>
    <w:rsid w:val="00C84436"/>
    <w:rsid w:val="00C84439"/>
    <w:rsid w:val="00C84639"/>
    <w:rsid w:val="00C84ECE"/>
    <w:rsid w:val="00C85203"/>
    <w:rsid w:val="00C85346"/>
    <w:rsid w:val="00C85493"/>
    <w:rsid w:val="00C85ADF"/>
    <w:rsid w:val="00C85E26"/>
    <w:rsid w:val="00C861B8"/>
    <w:rsid w:val="00C86584"/>
    <w:rsid w:val="00C8747A"/>
    <w:rsid w:val="00C902F6"/>
    <w:rsid w:val="00C9079E"/>
    <w:rsid w:val="00C90982"/>
    <w:rsid w:val="00C90CCF"/>
    <w:rsid w:val="00C9130F"/>
    <w:rsid w:val="00C919AF"/>
    <w:rsid w:val="00C91C22"/>
    <w:rsid w:val="00C91EBF"/>
    <w:rsid w:val="00C91F6C"/>
    <w:rsid w:val="00C923AF"/>
    <w:rsid w:val="00C925F3"/>
    <w:rsid w:val="00C92885"/>
    <w:rsid w:val="00C9324D"/>
    <w:rsid w:val="00C935DF"/>
    <w:rsid w:val="00C9397E"/>
    <w:rsid w:val="00C93E6D"/>
    <w:rsid w:val="00C93F0E"/>
    <w:rsid w:val="00C94117"/>
    <w:rsid w:val="00C9421F"/>
    <w:rsid w:val="00C94400"/>
    <w:rsid w:val="00C94682"/>
    <w:rsid w:val="00C94D56"/>
    <w:rsid w:val="00C95832"/>
    <w:rsid w:val="00C95F83"/>
    <w:rsid w:val="00C97239"/>
    <w:rsid w:val="00C97283"/>
    <w:rsid w:val="00CA0061"/>
    <w:rsid w:val="00CA02D0"/>
    <w:rsid w:val="00CA0310"/>
    <w:rsid w:val="00CA0CF4"/>
    <w:rsid w:val="00CA10A8"/>
    <w:rsid w:val="00CA1331"/>
    <w:rsid w:val="00CA1ABE"/>
    <w:rsid w:val="00CA2282"/>
    <w:rsid w:val="00CA2FE5"/>
    <w:rsid w:val="00CA31D5"/>
    <w:rsid w:val="00CA37ED"/>
    <w:rsid w:val="00CA4B2C"/>
    <w:rsid w:val="00CA4EE5"/>
    <w:rsid w:val="00CA4F65"/>
    <w:rsid w:val="00CA5075"/>
    <w:rsid w:val="00CA5924"/>
    <w:rsid w:val="00CA5D22"/>
    <w:rsid w:val="00CA5E8D"/>
    <w:rsid w:val="00CA7694"/>
    <w:rsid w:val="00CA7EF3"/>
    <w:rsid w:val="00CB0552"/>
    <w:rsid w:val="00CB12F9"/>
    <w:rsid w:val="00CB3F59"/>
    <w:rsid w:val="00CB48D0"/>
    <w:rsid w:val="00CB498E"/>
    <w:rsid w:val="00CB51B2"/>
    <w:rsid w:val="00CB538D"/>
    <w:rsid w:val="00CB539F"/>
    <w:rsid w:val="00CB5EB8"/>
    <w:rsid w:val="00CB6E57"/>
    <w:rsid w:val="00CB79A9"/>
    <w:rsid w:val="00CB7C93"/>
    <w:rsid w:val="00CB7CCA"/>
    <w:rsid w:val="00CC1BEC"/>
    <w:rsid w:val="00CC244C"/>
    <w:rsid w:val="00CC2526"/>
    <w:rsid w:val="00CC26A7"/>
    <w:rsid w:val="00CC2BDD"/>
    <w:rsid w:val="00CC32AC"/>
    <w:rsid w:val="00CC3631"/>
    <w:rsid w:val="00CC3BF0"/>
    <w:rsid w:val="00CC3CD1"/>
    <w:rsid w:val="00CC462B"/>
    <w:rsid w:val="00CC4869"/>
    <w:rsid w:val="00CC4A96"/>
    <w:rsid w:val="00CC59B6"/>
    <w:rsid w:val="00CC59F4"/>
    <w:rsid w:val="00CC611B"/>
    <w:rsid w:val="00CC6602"/>
    <w:rsid w:val="00CC6EE7"/>
    <w:rsid w:val="00CC75F6"/>
    <w:rsid w:val="00CC76AE"/>
    <w:rsid w:val="00CD14D8"/>
    <w:rsid w:val="00CD19C6"/>
    <w:rsid w:val="00CD1B3E"/>
    <w:rsid w:val="00CD22B8"/>
    <w:rsid w:val="00CD28BA"/>
    <w:rsid w:val="00CD34D6"/>
    <w:rsid w:val="00CD37A6"/>
    <w:rsid w:val="00CD397C"/>
    <w:rsid w:val="00CD3A00"/>
    <w:rsid w:val="00CD4146"/>
    <w:rsid w:val="00CD4425"/>
    <w:rsid w:val="00CD5742"/>
    <w:rsid w:val="00CD5B00"/>
    <w:rsid w:val="00CD5F9E"/>
    <w:rsid w:val="00CD60D4"/>
    <w:rsid w:val="00CD68C8"/>
    <w:rsid w:val="00CD68FE"/>
    <w:rsid w:val="00CD6EE8"/>
    <w:rsid w:val="00CD768D"/>
    <w:rsid w:val="00CD79B7"/>
    <w:rsid w:val="00CE0723"/>
    <w:rsid w:val="00CE0953"/>
    <w:rsid w:val="00CE0969"/>
    <w:rsid w:val="00CE14EA"/>
    <w:rsid w:val="00CE1F86"/>
    <w:rsid w:val="00CE21E4"/>
    <w:rsid w:val="00CE2839"/>
    <w:rsid w:val="00CE3419"/>
    <w:rsid w:val="00CE3A2B"/>
    <w:rsid w:val="00CE3A54"/>
    <w:rsid w:val="00CE4106"/>
    <w:rsid w:val="00CE43A6"/>
    <w:rsid w:val="00CE4BA6"/>
    <w:rsid w:val="00CE50C5"/>
    <w:rsid w:val="00CE53F2"/>
    <w:rsid w:val="00CE6542"/>
    <w:rsid w:val="00CE65DD"/>
    <w:rsid w:val="00CE6690"/>
    <w:rsid w:val="00CE66A7"/>
    <w:rsid w:val="00CE6F65"/>
    <w:rsid w:val="00CE79B6"/>
    <w:rsid w:val="00CF0257"/>
    <w:rsid w:val="00CF10BF"/>
    <w:rsid w:val="00CF11CE"/>
    <w:rsid w:val="00CF1360"/>
    <w:rsid w:val="00CF1D44"/>
    <w:rsid w:val="00CF1E11"/>
    <w:rsid w:val="00CF23CC"/>
    <w:rsid w:val="00CF2CCA"/>
    <w:rsid w:val="00CF324E"/>
    <w:rsid w:val="00CF38DF"/>
    <w:rsid w:val="00CF38E8"/>
    <w:rsid w:val="00CF3D90"/>
    <w:rsid w:val="00CF5146"/>
    <w:rsid w:val="00CF54AF"/>
    <w:rsid w:val="00CF57FA"/>
    <w:rsid w:val="00CF5F93"/>
    <w:rsid w:val="00CF61EF"/>
    <w:rsid w:val="00CF709E"/>
    <w:rsid w:val="00CF70D7"/>
    <w:rsid w:val="00CF7252"/>
    <w:rsid w:val="00CF7B4B"/>
    <w:rsid w:val="00CF7CA4"/>
    <w:rsid w:val="00D018D2"/>
    <w:rsid w:val="00D01AFF"/>
    <w:rsid w:val="00D01BA5"/>
    <w:rsid w:val="00D01DEC"/>
    <w:rsid w:val="00D02374"/>
    <w:rsid w:val="00D02C32"/>
    <w:rsid w:val="00D03CC5"/>
    <w:rsid w:val="00D058E3"/>
    <w:rsid w:val="00D06131"/>
    <w:rsid w:val="00D0790C"/>
    <w:rsid w:val="00D07955"/>
    <w:rsid w:val="00D10D4F"/>
    <w:rsid w:val="00D1104A"/>
    <w:rsid w:val="00D111BA"/>
    <w:rsid w:val="00D11ADD"/>
    <w:rsid w:val="00D12D79"/>
    <w:rsid w:val="00D12DCC"/>
    <w:rsid w:val="00D14420"/>
    <w:rsid w:val="00D14545"/>
    <w:rsid w:val="00D145A4"/>
    <w:rsid w:val="00D1485B"/>
    <w:rsid w:val="00D148AA"/>
    <w:rsid w:val="00D148B9"/>
    <w:rsid w:val="00D14917"/>
    <w:rsid w:val="00D14B76"/>
    <w:rsid w:val="00D1570B"/>
    <w:rsid w:val="00D15833"/>
    <w:rsid w:val="00D15956"/>
    <w:rsid w:val="00D20246"/>
    <w:rsid w:val="00D2034E"/>
    <w:rsid w:val="00D204E0"/>
    <w:rsid w:val="00D207DB"/>
    <w:rsid w:val="00D20A4A"/>
    <w:rsid w:val="00D21D4C"/>
    <w:rsid w:val="00D22202"/>
    <w:rsid w:val="00D226C3"/>
    <w:rsid w:val="00D23B09"/>
    <w:rsid w:val="00D23E26"/>
    <w:rsid w:val="00D23F4B"/>
    <w:rsid w:val="00D243C3"/>
    <w:rsid w:val="00D247AC"/>
    <w:rsid w:val="00D25871"/>
    <w:rsid w:val="00D30951"/>
    <w:rsid w:val="00D312AD"/>
    <w:rsid w:val="00D31327"/>
    <w:rsid w:val="00D318FE"/>
    <w:rsid w:val="00D319A6"/>
    <w:rsid w:val="00D31AD7"/>
    <w:rsid w:val="00D31B95"/>
    <w:rsid w:val="00D31E2E"/>
    <w:rsid w:val="00D31F49"/>
    <w:rsid w:val="00D32140"/>
    <w:rsid w:val="00D32D30"/>
    <w:rsid w:val="00D33402"/>
    <w:rsid w:val="00D335AD"/>
    <w:rsid w:val="00D341E4"/>
    <w:rsid w:val="00D345E2"/>
    <w:rsid w:val="00D34697"/>
    <w:rsid w:val="00D34844"/>
    <w:rsid w:val="00D34964"/>
    <w:rsid w:val="00D34BB0"/>
    <w:rsid w:val="00D34C29"/>
    <w:rsid w:val="00D363DE"/>
    <w:rsid w:val="00D36792"/>
    <w:rsid w:val="00D36AB5"/>
    <w:rsid w:val="00D36B1C"/>
    <w:rsid w:val="00D36F36"/>
    <w:rsid w:val="00D3730C"/>
    <w:rsid w:val="00D37FBB"/>
    <w:rsid w:val="00D40B20"/>
    <w:rsid w:val="00D41E81"/>
    <w:rsid w:val="00D41EF7"/>
    <w:rsid w:val="00D4253F"/>
    <w:rsid w:val="00D427E7"/>
    <w:rsid w:val="00D428D4"/>
    <w:rsid w:val="00D43428"/>
    <w:rsid w:val="00D43598"/>
    <w:rsid w:val="00D4387D"/>
    <w:rsid w:val="00D43A68"/>
    <w:rsid w:val="00D44087"/>
    <w:rsid w:val="00D44214"/>
    <w:rsid w:val="00D448F6"/>
    <w:rsid w:val="00D4589F"/>
    <w:rsid w:val="00D4632B"/>
    <w:rsid w:val="00D467CA"/>
    <w:rsid w:val="00D46C67"/>
    <w:rsid w:val="00D47658"/>
    <w:rsid w:val="00D477AD"/>
    <w:rsid w:val="00D508E3"/>
    <w:rsid w:val="00D50BEC"/>
    <w:rsid w:val="00D50D52"/>
    <w:rsid w:val="00D50FA5"/>
    <w:rsid w:val="00D5190D"/>
    <w:rsid w:val="00D51954"/>
    <w:rsid w:val="00D51D4A"/>
    <w:rsid w:val="00D52B65"/>
    <w:rsid w:val="00D52C33"/>
    <w:rsid w:val="00D5481B"/>
    <w:rsid w:val="00D54885"/>
    <w:rsid w:val="00D550B4"/>
    <w:rsid w:val="00D551CA"/>
    <w:rsid w:val="00D55CE6"/>
    <w:rsid w:val="00D55DB8"/>
    <w:rsid w:val="00D5619D"/>
    <w:rsid w:val="00D5630B"/>
    <w:rsid w:val="00D56D5F"/>
    <w:rsid w:val="00D56F6E"/>
    <w:rsid w:val="00D56FA6"/>
    <w:rsid w:val="00D57C10"/>
    <w:rsid w:val="00D57E1A"/>
    <w:rsid w:val="00D60953"/>
    <w:rsid w:val="00D60B01"/>
    <w:rsid w:val="00D60F60"/>
    <w:rsid w:val="00D611D7"/>
    <w:rsid w:val="00D61227"/>
    <w:rsid w:val="00D6156B"/>
    <w:rsid w:val="00D61822"/>
    <w:rsid w:val="00D6197C"/>
    <w:rsid w:val="00D61A22"/>
    <w:rsid w:val="00D61AD1"/>
    <w:rsid w:val="00D620E4"/>
    <w:rsid w:val="00D62A45"/>
    <w:rsid w:val="00D63046"/>
    <w:rsid w:val="00D64217"/>
    <w:rsid w:val="00D64262"/>
    <w:rsid w:val="00D6473B"/>
    <w:rsid w:val="00D64AB4"/>
    <w:rsid w:val="00D64F69"/>
    <w:rsid w:val="00D64F7B"/>
    <w:rsid w:val="00D64F85"/>
    <w:rsid w:val="00D652DD"/>
    <w:rsid w:val="00D65756"/>
    <w:rsid w:val="00D66675"/>
    <w:rsid w:val="00D66BD4"/>
    <w:rsid w:val="00D66C67"/>
    <w:rsid w:val="00D66D34"/>
    <w:rsid w:val="00D66DC3"/>
    <w:rsid w:val="00D66EE3"/>
    <w:rsid w:val="00D67573"/>
    <w:rsid w:val="00D675C0"/>
    <w:rsid w:val="00D67B03"/>
    <w:rsid w:val="00D67FDE"/>
    <w:rsid w:val="00D70137"/>
    <w:rsid w:val="00D70568"/>
    <w:rsid w:val="00D7103F"/>
    <w:rsid w:val="00D7122E"/>
    <w:rsid w:val="00D71567"/>
    <w:rsid w:val="00D71B4C"/>
    <w:rsid w:val="00D71F73"/>
    <w:rsid w:val="00D72DBD"/>
    <w:rsid w:val="00D73075"/>
    <w:rsid w:val="00D74289"/>
    <w:rsid w:val="00D74698"/>
    <w:rsid w:val="00D7495D"/>
    <w:rsid w:val="00D7553D"/>
    <w:rsid w:val="00D75EAC"/>
    <w:rsid w:val="00D76178"/>
    <w:rsid w:val="00D762A9"/>
    <w:rsid w:val="00D763BD"/>
    <w:rsid w:val="00D76C5E"/>
    <w:rsid w:val="00D76D68"/>
    <w:rsid w:val="00D77003"/>
    <w:rsid w:val="00D77222"/>
    <w:rsid w:val="00D77A50"/>
    <w:rsid w:val="00D80543"/>
    <w:rsid w:val="00D80A62"/>
    <w:rsid w:val="00D811CE"/>
    <w:rsid w:val="00D8166E"/>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542A"/>
    <w:rsid w:val="00D85AE8"/>
    <w:rsid w:val="00D85EDE"/>
    <w:rsid w:val="00D8619A"/>
    <w:rsid w:val="00D86EEA"/>
    <w:rsid w:val="00D8703F"/>
    <w:rsid w:val="00D87446"/>
    <w:rsid w:val="00D8765A"/>
    <w:rsid w:val="00D87AFF"/>
    <w:rsid w:val="00D90781"/>
    <w:rsid w:val="00D90BE0"/>
    <w:rsid w:val="00D90C63"/>
    <w:rsid w:val="00D9112A"/>
    <w:rsid w:val="00D91306"/>
    <w:rsid w:val="00D91C17"/>
    <w:rsid w:val="00D91E7E"/>
    <w:rsid w:val="00D91F8D"/>
    <w:rsid w:val="00D920AE"/>
    <w:rsid w:val="00D926F7"/>
    <w:rsid w:val="00D92887"/>
    <w:rsid w:val="00D9288A"/>
    <w:rsid w:val="00D934E3"/>
    <w:rsid w:val="00D941DE"/>
    <w:rsid w:val="00D943F0"/>
    <w:rsid w:val="00D944D3"/>
    <w:rsid w:val="00D95BCE"/>
    <w:rsid w:val="00D961A1"/>
    <w:rsid w:val="00D961D3"/>
    <w:rsid w:val="00D961D8"/>
    <w:rsid w:val="00D963CF"/>
    <w:rsid w:val="00D96407"/>
    <w:rsid w:val="00D96933"/>
    <w:rsid w:val="00D96E81"/>
    <w:rsid w:val="00D9772B"/>
    <w:rsid w:val="00DA01B3"/>
    <w:rsid w:val="00DA0A50"/>
    <w:rsid w:val="00DA0D1B"/>
    <w:rsid w:val="00DA126F"/>
    <w:rsid w:val="00DA13A7"/>
    <w:rsid w:val="00DA1DF6"/>
    <w:rsid w:val="00DA1F1C"/>
    <w:rsid w:val="00DA24D1"/>
    <w:rsid w:val="00DA25F9"/>
    <w:rsid w:val="00DA29A2"/>
    <w:rsid w:val="00DA2A6D"/>
    <w:rsid w:val="00DA2B77"/>
    <w:rsid w:val="00DA366E"/>
    <w:rsid w:val="00DA3895"/>
    <w:rsid w:val="00DA3D25"/>
    <w:rsid w:val="00DA3DF7"/>
    <w:rsid w:val="00DA3E76"/>
    <w:rsid w:val="00DA412B"/>
    <w:rsid w:val="00DA4F04"/>
    <w:rsid w:val="00DA5056"/>
    <w:rsid w:val="00DA51E6"/>
    <w:rsid w:val="00DA5A80"/>
    <w:rsid w:val="00DA633D"/>
    <w:rsid w:val="00DA67B6"/>
    <w:rsid w:val="00DA7368"/>
    <w:rsid w:val="00DA79DE"/>
    <w:rsid w:val="00DA7C90"/>
    <w:rsid w:val="00DA7D28"/>
    <w:rsid w:val="00DA7F3A"/>
    <w:rsid w:val="00DB0046"/>
    <w:rsid w:val="00DB0123"/>
    <w:rsid w:val="00DB02ED"/>
    <w:rsid w:val="00DB0DF7"/>
    <w:rsid w:val="00DB18FC"/>
    <w:rsid w:val="00DB1DFB"/>
    <w:rsid w:val="00DB22E2"/>
    <w:rsid w:val="00DB256F"/>
    <w:rsid w:val="00DB260C"/>
    <w:rsid w:val="00DB2A3F"/>
    <w:rsid w:val="00DB2B9E"/>
    <w:rsid w:val="00DB2C33"/>
    <w:rsid w:val="00DB3394"/>
    <w:rsid w:val="00DB37FD"/>
    <w:rsid w:val="00DB3831"/>
    <w:rsid w:val="00DB4644"/>
    <w:rsid w:val="00DB54C4"/>
    <w:rsid w:val="00DB556E"/>
    <w:rsid w:val="00DB6707"/>
    <w:rsid w:val="00DB6A40"/>
    <w:rsid w:val="00DB7107"/>
    <w:rsid w:val="00DB72D8"/>
    <w:rsid w:val="00DB7BF9"/>
    <w:rsid w:val="00DB7C4C"/>
    <w:rsid w:val="00DB7EA1"/>
    <w:rsid w:val="00DC0B63"/>
    <w:rsid w:val="00DC0CB9"/>
    <w:rsid w:val="00DC0E6F"/>
    <w:rsid w:val="00DC178E"/>
    <w:rsid w:val="00DC17A4"/>
    <w:rsid w:val="00DC18AC"/>
    <w:rsid w:val="00DC2476"/>
    <w:rsid w:val="00DC28C9"/>
    <w:rsid w:val="00DC2D4B"/>
    <w:rsid w:val="00DC326B"/>
    <w:rsid w:val="00DC343C"/>
    <w:rsid w:val="00DC3519"/>
    <w:rsid w:val="00DC3569"/>
    <w:rsid w:val="00DC3B9E"/>
    <w:rsid w:val="00DC3BE4"/>
    <w:rsid w:val="00DC4BA1"/>
    <w:rsid w:val="00DC51A3"/>
    <w:rsid w:val="00DC5267"/>
    <w:rsid w:val="00DC546A"/>
    <w:rsid w:val="00DC595F"/>
    <w:rsid w:val="00DC6CFF"/>
    <w:rsid w:val="00DC744D"/>
    <w:rsid w:val="00DC7457"/>
    <w:rsid w:val="00DC74C2"/>
    <w:rsid w:val="00DC79AE"/>
    <w:rsid w:val="00DC7D84"/>
    <w:rsid w:val="00DD081D"/>
    <w:rsid w:val="00DD15B8"/>
    <w:rsid w:val="00DD1645"/>
    <w:rsid w:val="00DD1859"/>
    <w:rsid w:val="00DD19C1"/>
    <w:rsid w:val="00DD1AD5"/>
    <w:rsid w:val="00DD1B37"/>
    <w:rsid w:val="00DD28AE"/>
    <w:rsid w:val="00DD2E21"/>
    <w:rsid w:val="00DD2FA7"/>
    <w:rsid w:val="00DD3165"/>
    <w:rsid w:val="00DD3369"/>
    <w:rsid w:val="00DD3C61"/>
    <w:rsid w:val="00DD3CD4"/>
    <w:rsid w:val="00DD4EB6"/>
    <w:rsid w:val="00DD5841"/>
    <w:rsid w:val="00DD63E5"/>
    <w:rsid w:val="00DD6409"/>
    <w:rsid w:val="00DD6B26"/>
    <w:rsid w:val="00DD7653"/>
    <w:rsid w:val="00DD7776"/>
    <w:rsid w:val="00DE03D9"/>
    <w:rsid w:val="00DE1514"/>
    <w:rsid w:val="00DE19B9"/>
    <w:rsid w:val="00DE1A37"/>
    <w:rsid w:val="00DE1B58"/>
    <w:rsid w:val="00DE209F"/>
    <w:rsid w:val="00DE296D"/>
    <w:rsid w:val="00DE2FE8"/>
    <w:rsid w:val="00DE3169"/>
    <w:rsid w:val="00DE39EC"/>
    <w:rsid w:val="00DE3C5D"/>
    <w:rsid w:val="00DE420C"/>
    <w:rsid w:val="00DE4AE4"/>
    <w:rsid w:val="00DE4D0A"/>
    <w:rsid w:val="00DE4D7E"/>
    <w:rsid w:val="00DE56A9"/>
    <w:rsid w:val="00DE5732"/>
    <w:rsid w:val="00DE5D46"/>
    <w:rsid w:val="00DE6A1A"/>
    <w:rsid w:val="00DE6D84"/>
    <w:rsid w:val="00DE6FC4"/>
    <w:rsid w:val="00DE6FFB"/>
    <w:rsid w:val="00DF11DE"/>
    <w:rsid w:val="00DF16CA"/>
    <w:rsid w:val="00DF1B93"/>
    <w:rsid w:val="00DF1EC7"/>
    <w:rsid w:val="00DF22DC"/>
    <w:rsid w:val="00DF26A2"/>
    <w:rsid w:val="00DF2A7E"/>
    <w:rsid w:val="00DF3501"/>
    <w:rsid w:val="00DF3D6F"/>
    <w:rsid w:val="00DF62D7"/>
    <w:rsid w:val="00DF6684"/>
    <w:rsid w:val="00DF6989"/>
    <w:rsid w:val="00DF6D3E"/>
    <w:rsid w:val="00DF76C2"/>
    <w:rsid w:val="00DF780B"/>
    <w:rsid w:val="00DF7A78"/>
    <w:rsid w:val="00DF7D79"/>
    <w:rsid w:val="00E002E7"/>
    <w:rsid w:val="00E006B5"/>
    <w:rsid w:val="00E00BD4"/>
    <w:rsid w:val="00E0142A"/>
    <w:rsid w:val="00E0158E"/>
    <w:rsid w:val="00E01672"/>
    <w:rsid w:val="00E01755"/>
    <w:rsid w:val="00E01930"/>
    <w:rsid w:val="00E0207B"/>
    <w:rsid w:val="00E024F1"/>
    <w:rsid w:val="00E02A2F"/>
    <w:rsid w:val="00E02CCB"/>
    <w:rsid w:val="00E02D89"/>
    <w:rsid w:val="00E034CF"/>
    <w:rsid w:val="00E036BB"/>
    <w:rsid w:val="00E03903"/>
    <w:rsid w:val="00E03BFE"/>
    <w:rsid w:val="00E04151"/>
    <w:rsid w:val="00E0476E"/>
    <w:rsid w:val="00E0491A"/>
    <w:rsid w:val="00E0519B"/>
    <w:rsid w:val="00E06815"/>
    <w:rsid w:val="00E0690B"/>
    <w:rsid w:val="00E073BA"/>
    <w:rsid w:val="00E07648"/>
    <w:rsid w:val="00E0786A"/>
    <w:rsid w:val="00E0793C"/>
    <w:rsid w:val="00E07EE4"/>
    <w:rsid w:val="00E1077E"/>
    <w:rsid w:val="00E10EE6"/>
    <w:rsid w:val="00E11331"/>
    <w:rsid w:val="00E115AC"/>
    <w:rsid w:val="00E11D0C"/>
    <w:rsid w:val="00E11F2E"/>
    <w:rsid w:val="00E12201"/>
    <w:rsid w:val="00E12606"/>
    <w:rsid w:val="00E12BEC"/>
    <w:rsid w:val="00E13262"/>
    <w:rsid w:val="00E139CB"/>
    <w:rsid w:val="00E13BC3"/>
    <w:rsid w:val="00E13E10"/>
    <w:rsid w:val="00E13EAC"/>
    <w:rsid w:val="00E14858"/>
    <w:rsid w:val="00E14CCD"/>
    <w:rsid w:val="00E14F00"/>
    <w:rsid w:val="00E15088"/>
    <w:rsid w:val="00E152C5"/>
    <w:rsid w:val="00E153CF"/>
    <w:rsid w:val="00E15558"/>
    <w:rsid w:val="00E16589"/>
    <w:rsid w:val="00E166CE"/>
    <w:rsid w:val="00E16995"/>
    <w:rsid w:val="00E16F72"/>
    <w:rsid w:val="00E17E53"/>
    <w:rsid w:val="00E17E79"/>
    <w:rsid w:val="00E2009B"/>
    <w:rsid w:val="00E200A4"/>
    <w:rsid w:val="00E20888"/>
    <w:rsid w:val="00E20BDE"/>
    <w:rsid w:val="00E20F42"/>
    <w:rsid w:val="00E20F9B"/>
    <w:rsid w:val="00E210F5"/>
    <w:rsid w:val="00E215C8"/>
    <w:rsid w:val="00E21CBA"/>
    <w:rsid w:val="00E21F39"/>
    <w:rsid w:val="00E221A9"/>
    <w:rsid w:val="00E22998"/>
    <w:rsid w:val="00E22AB6"/>
    <w:rsid w:val="00E22D29"/>
    <w:rsid w:val="00E2328F"/>
    <w:rsid w:val="00E23780"/>
    <w:rsid w:val="00E23FC0"/>
    <w:rsid w:val="00E2411C"/>
    <w:rsid w:val="00E2453A"/>
    <w:rsid w:val="00E250AB"/>
    <w:rsid w:val="00E25446"/>
    <w:rsid w:val="00E25FE4"/>
    <w:rsid w:val="00E263F5"/>
    <w:rsid w:val="00E26747"/>
    <w:rsid w:val="00E27200"/>
    <w:rsid w:val="00E27500"/>
    <w:rsid w:val="00E2756C"/>
    <w:rsid w:val="00E27A05"/>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049"/>
    <w:rsid w:val="00E352AD"/>
    <w:rsid w:val="00E3538B"/>
    <w:rsid w:val="00E353E5"/>
    <w:rsid w:val="00E357EE"/>
    <w:rsid w:val="00E3771E"/>
    <w:rsid w:val="00E37841"/>
    <w:rsid w:val="00E403F0"/>
    <w:rsid w:val="00E40BD0"/>
    <w:rsid w:val="00E414FE"/>
    <w:rsid w:val="00E416E1"/>
    <w:rsid w:val="00E41B9F"/>
    <w:rsid w:val="00E42738"/>
    <w:rsid w:val="00E42942"/>
    <w:rsid w:val="00E44A91"/>
    <w:rsid w:val="00E44C78"/>
    <w:rsid w:val="00E44E07"/>
    <w:rsid w:val="00E44E2E"/>
    <w:rsid w:val="00E453B4"/>
    <w:rsid w:val="00E4611D"/>
    <w:rsid w:val="00E4784D"/>
    <w:rsid w:val="00E4793B"/>
    <w:rsid w:val="00E507D9"/>
    <w:rsid w:val="00E50994"/>
    <w:rsid w:val="00E513DC"/>
    <w:rsid w:val="00E51982"/>
    <w:rsid w:val="00E51AEC"/>
    <w:rsid w:val="00E52033"/>
    <w:rsid w:val="00E520CE"/>
    <w:rsid w:val="00E5234E"/>
    <w:rsid w:val="00E52AA9"/>
    <w:rsid w:val="00E53347"/>
    <w:rsid w:val="00E53D13"/>
    <w:rsid w:val="00E550D2"/>
    <w:rsid w:val="00E559B3"/>
    <w:rsid w:val="00E55C8A"/>
    <w:rsid w:val="00E56779"/>
    <w:rsid w:val="00E567FA"/>
    <w:rsid w:val="00E56966"/>
    <w:rsid w:val="00E56C87"/>
    <w:rsid w:val="00E56DE7"/>
    <w:rsid w:val="00E56EAE"/>
    <w:rsid w:val="00E57159"/>
    <w:rsid w:val="00E572C4"/>
    <w:rsid w:val="00E5792F"/>
    <w:rsid w:val="00E57C95"/>
    <w:rsid w:val="00E6019E"/>
    <w:rsid w:val="00E602E2"/>
    <w:rsid w:val="00E606A7"/>
    <w:rsid w:val="00E6127B"/>
    <w:rsid w:val="00E61571"/>
    <w:rsid w:val="00E61AFF"/>
    <w:rsid w:val="00E61B1E"/>
    <w:rsid w:val="00E61FDF"/>
    <w:rsid w:val="00E6223A"/>
    <w:rsid w:val="00E62338"/>
    <w:rsid w:val="00E63553"/>
    <w:rsid w:val="00E635F4"/>
    <w:rsid w:val="00E63F9A"/>
    <w:rsid w:val="00E64242"/>
    <w:rsid w:val="00E64280"/>
    <w:rsid w:val="00E64389"/>
    <w:rsid w:val="00E645B0"/>
    <w:rsid w:val="00E64612"/>
    <w:rsid w:val="00E64821"/>
    <w:rsid w:val="00E65419"/>
    <w:rsid w:val="00E6569A"/>
    <w:rsid w:val="00E66260"/>
    <w:rsid w:val="00E66455"/>
    <w:rsid w:val="00E669A8"/>
    <w:rsid w:val="00E66A98"/>
    <w:rsid w:val="00E66F56"/>
    <w:rsid w:val="00E670E3"/>
    <w:rsid w:val="00E6716E"/>
    <w:rsid w:val="00E672EC"/>
    <w:rsid w:val="00E678EC"/>
    <w:rsid w:val="00E678F7"/>
    <w:rsid w:val="00E67AA2"/>
    <w:rsid w:val="00E70299"/>
    <w:rsid w:val="00E702AC"/>
    <w:rsid w:val="00E704DB"/>
    <w:rsid w:val="00E71063"/>
    <w:rsid w:val="00E712C5"/>
    <w:rsid w:val="00E72197"/>
    <w:rsid w:val="00E724A4"/>
    <w:rsid w:val="00E72637"/>
    <w:rsid w:val="00E72C2E"/>
    <w:rsid w:val="00E7308D"/>
    <w:rsid w:val="00E736D1"/>
    <w:rsid w:val="00E73B1F"/>
    <w:rsid w:val="00E7400B"/>
    <w:rsid w:val="00E7453A"/>
    <w:rsid w:val="00E74E63"/>
    <w:rsid w:val="00E753D2"/>
    <w:rsid w:val="00E75580"/>
    <w:rsid w:val="00E75800"/>
    <w:rsid w:val="00E75B79"/>
    <w:rsid w:val="00E75EA5"/>
    <w:rsid w:val="00E767E5"/>
    <w:rsid w:val="00E76C09"/>
    <w:rsid w:val="00E779B7"/>
    <w:rsid w:val="00E77A64"/>
    <w:rsid w:val="00E77A79"/>
    <w:rsid w:val="00E77BB2"/>
    <w:rsid w:val="00E77CB2"/>
    <w:rsid w:val="00E80BE1"/>
    <w:rsid w:val="00E80F28"/>
    <w:rsid w:val="00E80F80"/>
    <w:rsid w:val="00E811A5"/>
    <w:rsid w:val="00E81BF5"/>
    <w:rsid w:val="00E82656"/>
    <w:rsid w:val="00E82660"/>
    <w:rsid w:val="00E826E6"/>
    <w:rsid w:val="00E82ACB"/>
    <w:rsid w:val="00E82ADC"/>
    <w:rsid w:val="00E8318F"/>
    <w:rsid w:val="00E836CD"/>
    <w:rsid w:val="00E846A3"/>
    <w:rsid w:val="00E846F8"/>
    <w:rsid w:val="00E8506D"/>
    <w:rsid w:val="00E854F4"/>
    <w:rsid w:val="00E85BBF"/>
    <w:rsid w:val="00E85F71"/>
    <w:rsid w:val="00E868D4"/>
    <w:rsid w:val="00E87208"/>
    <w:rsid w:val="00E8761E"/>
    <w:rsid w:val="00E87655"/>
    <w:rsid w:val="00E877AE"/>
    <w:rsid w:val="00E87DD3"/>
    <w:rsid w:val="00E900C4"/>
    <w:rsid w:val="00E913B5"/>
    <w:rsid w:val="00E91975"/>
    <w:rsid w:val="00E91BC4"/>
    <w:rsid w:val="00E92063"/>
    <w:rsid w:val="00E92762"/>
    <w:rsid w:val="00E92B9C"/>
    <w:rsid w:val="00E92E38"/>
    <w:rsid w:val="00E94C6A"/>
    <w:rsid w:val="00E952C7"/>
    <w:rsid w:val="00E9536D"/>
    <w:rsid w:val="00E96044"/>
    <w:rsid w:val="00E96979"/>
    <w:rsid w:val="00E96A34"/>
    <w:rsid w:val="00E97769"/>
    <w:rsid w:val="00E97A27"/>
    <w:rsid w:val="00E97D58"/>
    <w:rsid w:val="00EA031E"/>
    <w:rsid w:val="00EA0479"/>
    <w:rsid w:val="00EA086F"/>
    <w:rsid w:val="00EA0899"/>
    <w:rsid w:val="00EA0B59"/>
    <w:rsid w:val="00EA0E43"/>
    <w:rsid w:val="00EA0F56"/>
    <w:rsid w:val="00EA0FD5"/>
    <w:rsid w:val="00EA13BA"/>
    <w:rsid w:val="00EA1662"/>
    <w:rsid w:val="00EA1BC3"/>
    <w:rsid w:val="00EA1F56"/>
    <w:rsid w:val="00EA265B"/>
    <w:rsid w:val="00EA3134"/>
    <w:rsid w:val="00EA34D1"/>
    <w:rsid w:val="00EA35C7"/>
    <w:rsid w:val="00EA37AC"/>
    <w:rsid w:val="00EA3F5B"/>
    <w:rsid w:val="00EA446F"/>
    <w:rsid w:val="00EA48C8"/>
    <w:rsid w:val="00EA4ED8"/>
    <w:rsid w:val="00EA5453"/>
    <w:rsid w:val="00EA566E"/>
    <w:rsid w:val="00EA5801"/>
    <w:rsid w:val="00EA5D79"/>
    <w:rsid w:val="00EA6959"/>
    <w:rsid w:val="00EA6C6E"/>
    <w:rsid w:val="00EA6D15"/>
    <w:rsid w:val="00EA776C"/>
    <w:rsid w:val="00EA7B3F"/>
    <w:rsid w:val="00EA7EA2"/>
    <w:rsid w:val="00EB03E4"/>
    <w:rsid w:val="00EB0990"/>
    <w:rsid w:val="00EB16B2"/>
    <w:rsid w:val="00EB2532"/>
    <w:rsid w:val="00EB2ED8"/>
    <w:rsid w:val="00EB341D"/>
    <w:rsid w:val="00EB3740"/>
    <w:rsid w:val="00EB39B4"/>
    <w:rsid w:val="00EB3DA7"/>
    <w:rsid w:val="00EB3EE7"/>
    <w:rsid w:val="00EB401F"/>
    <w:rsid w:val="00EB46D7"/>
    <w:rsid w:val="00EB50F0"/>
    <w:rsid w:val="00EB564D"/>
    <w:rsid w:val="00EB58A5"/>
    <w:rsid w:val="00EB62B8"/>
    <w:rsid w:val="00EB63C9"/>
    <w:rsid w:val="00EB6455"/>
    <w:rsid w:val="00EB6781"/>
    <w:rsid w:val="00EB6D9F"/>
    <w:rsid w:val="00EB74D7"/>
    <w:rsid w:val="00EB78D8"/>
    <w:rsid w:val="00EB79E1"/>
    <w:rsid w:val="00EB7AAE"/>
    <w:rsid w:val="00EB7FCE"/>
    <w:rsid w:val="00EC0050"/>
    <w:rsid w:val="00EC08ED"/>
    <w:rsid w:val="00EC0EC0"/>
    <w:rsid w:val="00EC1BCA"/>
    <w:rsid w:val="00EC20F5"/>
    <w:rsid w:val="00EC2B98"/>
    <w:rsid w:val="00EC2D64"/>
    <w:rsid w:val="00EC377F"/>
    <w:rsid w:val="00EC3BE2"/>
    <w:rsid w:val="00EC42EE"/>
    <w:rsid w:val="00EC483D"/>
    <w:rsid w:val="00EC48D1"/>
    <w:rsid w:val="00EC4F70"/>
    <w:rsid w:val="00EC56BD"/>
    <w:rsid w:val="00EC59A0"/>
    <w:rsid w:val="00EC6165"/>
    <w:rsid w:val="00EC61C9"/>
    <w:rsid w:val="00EC6518"/>
    <w:rsid w:val="00EC696C"/>
    <w:rsid w:val="00EC6C38"/>
    <w:rsid w:val="00EC707B"/>
    <w:rsid w:val="00EC73DF"/>
    <w:rsid w:val="00ED039D"/>
    <w:rsid w:val="00ED0939"/>
    <w:rsid w:val="00ED0C60"/>
    <w:rsid w:val="00ED0F6D"/>
    <w:rsid w:val="00ED1613"/>
    <w:rsid w:val="00ED204B"/>
    <w:rsid w:val="00ED21FE"/>
    <w:rsid w:val="00ED279E"/>
    <w:rsid w:val="00ED2A9C"/>
    <w:rsid w:val="00ED40E2"/>
    <w:rsid w:val="00ED44B9"/>
    <w:rsid w:val="00ED5D6B"/>
    <w:rsid w:val="00ED6F01"/>
    <w:rsid w:val="00ED71F1"/>
    <w:rsid w:val="00ED7CE7"/>
    <w:rsid w:val="00EE02A3"/>
    <w:rsid w:val="00EE0986"/>
    <w:rsid w:val="00EE0B19"/>
    <w:rsid w:val="00EE0F99"/>
    <w:rsid w:val="00EE1031"/>
    <w:rsid w:val="00EE10E0"/>
    <w:rsid w:val="00EE1921"/>
    <w:rsid w:val="00EE2080"/>
    <w:rsid w:val="00EE271C"/>
    <w:rsid w:val="00EE28D7"/>
    <w:rsid w:val="00EE2967"/>
    <w:rsid w:val="00EE38C8"/>
    <w:rsid w:val="00EE43F3"/>
    <w:rsid w:val="00EE48F5"/>
    <w:rsid w:val="00EE4CEF"/>
    <w:rsid w:val="00EE52DF"/>
    <w:rsid w:val="00EE5E93"/>
    <w:rsid w:val="00EE74F3"/>
    <w:rsid w:val="00EE754C"/>
    <w:rsid w:val="00EF04A8"/>
    <w:rsid w:val="00EF0908"/>
    <w:rsid w:val="00EF0D50"/>
    <w:rsid w:val="00EF1150"/>
    <w:rsid w:val="00EF1519"/>
    <w:rsid w:val="00EF1700"/>
    <w:rsid w:val="00EF1944"/>
    <w:rsid w:val="00EF2AD4"/>
    <w:rsid w:val="00EF30F5"/>
    <w:rsid w:val="00EF3CDA"/>
    <w:rsid w:val="00EF44D2"/>
    <w:rsid w:val="00EF5115"/>
    <w:rsid w:val="00EF516A"/>
    <w:rsid w:val="00EF529C"/>
    <w:rsid w:val="00EF5607"/>
    <w:rsid w:val="00EF56A1"/>
    <w:rsid w:val="00EF5A18"/>
    <w:rsid w:val="00EF5CE1"/>
    <w:rsid w:val="00EF6349"/>
    <w:rsid w:val="00EF74BC"/>
    <w:rsid w:val="00EF77B2"/>
    <w:rsid w:val="00EF79D0"/>
    <w:rsid w:val="00EF7ADD"/>
    <w:rsid w:val="00EF7C1C"/>
    <w:rsid w:val="00EF7DD6"/>
    <w:rsid w:val="00F00847"/>
    <w:rsid w:val="00F00B41"/>
    <w:rsid w:val="00F00BC5"/>
    <w:rsid w:val="00F00EB9"/>
    <w:rsid w:val="00F01177"/>
    <w:rsid w:val="00F01A45"/>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58D6"/>
    <w:rsid w:val="00F065FD"/>
    <w:rsid w:val="00F06B59"/>
    <w:rsid w:val="00F06CC2"/>
    <w:rsid w:val="00F07271"/>
    <w:rsid w:val="00F078D4"/>
    <w:rsid w:val="00F07B76"/>
    <w:rsid w:val="00F07DEF"/>
    <w:rsid w:val="00F10A52"/>
    <w:rsid w:val="00F11587"/>
    <w:rsid w:val="00F11909"/>
    <w:rsid w:val="00F11A28"/>
    <w:rsid w:val="00F11FAB"/>
    <w:rsid w:val="00F12291"/>
    <w:rsid w:val="00F138AD"/>
    <w:rsid w:val="00F13EB6"/>
    <w:rsid w:val="00F148A4"/>
    <w:rsid w:val="00F153ED"/>
    <w:rsid w:val="00F1560E"/>
    <w:rsid w:val="00F1579F"/>
    <w:rsid w:val="00F15F18"/>
    <w:rsid w:val="00F164B3"/>
    <w:rsid w:val="00F16D67"/>
    <w:rsid w:val="00F16F6B"/>
    <w:rsid w:val="00F17580"/>
    <w:rsid w:val="00F17897"/>
    <w:rsid w:val="00F17A04"/>
    <w:rsid w:val="00F17BDF"/>
    <w:rsid w:val="00F20273"/>
    <w:rsid w:val="00F20B35"/>
    <w:rsid w:val="00F21081"/>
    <w:rsid w:val="00F21388"/>
    <w:rsid w:val="00F2140B"/>
    <w:rsid w:val="00F21581"/>
    <w:rsid w:val="00F2197B"/>
    <w:rsid w:val="00F219EB"/>
    <w:rsid w:val="00F225A3"/>
    <w:rsid w:val="00F225ED"/>
    <w:rsid w:val="00F236A1"/>
    <w:rsid w:val="00F236A2"/>
    <w:rsid w:val="00F23B0C"/>
    <w:rsid w:val="00F24137"/>
    <w:rsid w:val="00F24215"/>
    <w:rsid w:val="00F2424F"/>
    <w:rsid w:val="00F24437"/>
    <w:rsid w:val="00F2485E"/>
    <w:rsid w:val="00F24A31"/>
    <w:rsid w:val="00F2544C"/>
    <w:rsid w:val="00F263BC"/>
    <w:rsid w:val="00F27308"/>
    <w:rsid w:val="00F273B9"/>
    <w:rsid w:val="00F27603"/>
    <w:rsid w:val="00F3006C"/>
    <w:rsid w:val="00F3099A"/>
    <w:rsid w:val="00F30DFD"/>
    <w:rsid w:val="00F31104"/>
    <w:rsid w:val="00F31E50"/>
    <w:rsid w:val="00F32EE3"/>
    <w:rsid w:val="00F3371E"/>
    <w:rsid w:val="00F33A2E"/>
    <w:rsid w:val="00F33DF9"/>
    <w:rsid w:val="00F33EE6"/>
    <w:rsid w:val="00F3410F"/>
    <w:rsid w:val="00F34863"/>
    <w:rsid w:val="00F34A58"/>
    <w:rsid w:val="00F34BBC"/>
    <w:rsid w:val="00F34F20"/>
    <w:rsid w:val="00F35956"/>
    <w:rsid w:val="00F359A9"/>
    <w:rsid w:val="00F35AFA"/>
    <w:rsid w:val="00F35C6D"/>
    <w:rsid w:val="00F36AEB"/>
    <w:rsid w:val="00F36E38"/>
    <w:rsid w:val="00F37230"/>
    <w:rsid w:val="00F37A66"/>
    <w:rsid w:val="00F405F8"/>
    <w:rsid w:val="00F40600"/>
    <w:rsid w:val="00F4077C"/>
    <w:rsid w:val="00F40DB6"/>
    <w:rsid w:val="00F41194"/>
    <w:rsid w:val="00F4141C"/>
    <w:rsid w:val="00F41AB8"/>
    <w:rsid w:val="00F42B6B"/>
    <w:rsid w:val="00F42DC5"/>
    <w:rsid w:val="00F42E10"/>
    <w:rsid w:val="00F4362D"/>
    <w:rsid w:val="00F43E46"/>
    <w:rsid w:val="00F4416B"/>
    <w:rsid w:val="00F44CC6"/>
    <w:rsid w:val="00F453D5"/>
    <w:rsid w:val="00F458C7"/>
    <w:rsid w:val="00F45A2D"/>
    <w:rsid w:val="00F46ECF"/>
    <w:rsid w:val="00F474A5"/>
    <w:rsid w:val="00F50837"/>
    <w:rsid w:val="00F50C8A"/>
    <w:rsid w:val="00F510E7"/>
    <w:rsid w:val="00F52218"/>
    <w:rsid w:val="00F52436"/>
    <w:rsid w:val="00F52527"/>
    <w:rsid w:val="00F5270F"/>
    <w:rsid w:val="00F52DFB"/>
    <w:rsid w:val="00F535E9"/>
    <w:rsid w:val="00F53978"/>
    <w:rsid w:val="00F53D8A"/>
    <w:rsid w:val="00F545BA"/>
    <w:rsid w:val="00F5468C"/>
    <w:rsid w:val="00F54DEE"/>
    <w:rsid w:val="00F54E29"/>
    <w:rsid w:val="00F5532E"/>
    <w:rsid w:val="00F556E7"/>
    <w:rsid w:val="00F55BC5"/>
    <w:rsid w:val="00F55D61"/>
    <w:rsid w:val="00F55ECA"/>
    <w:rsid w:val="00F56A15"/>
    <w:rsid w:val="00F56B8E"/>
    <w:rsid w:val="00F56CA0"/>
    <w:rsid w:val="00F56F10"/>
    <w:rsid w:val="00F56F90"/>
    <w:rsid w:val="00F57220"/>
    <w:rsid w:val="00F57DAF"/>
    <w:rsid w:val="00F608C2"/>
    <w:rsid w:val="00F60E5F"/>
    <w:rsid w:val="00F611CD"/>
    <w:rsid w:val="00F6221B"/>
    <w:rsid w:val="00F62522"/>
    <w:rsid w:val="00F6275C"/>
    <w:rsid w:val="00F629D9"/>
    <w:rsid w:val="00F62BA2"/>
    <w:rsid w:val="00F6363F"/>
    <w:rsid w:val="00F63822"/>
    <w:rsid w:val="00F638D4"/>
    <w:rsid w:val="00F63D70"/>
    <w:rsid w:val="00F63F77"/>
    <w:rsid w:val="00F65041"/>
    <w:rsid w:val="00F651B3"/>
    <w:rsid w:val="00F655AB"/>
    <w:rsid w:val="00F65653"/>
    <w:rsid w:val="00F65C60"/>
    <w:rsid w:val="00F65FA9"/>
    <w:rsid w:val="00F65FD3"/>
    <w:rsid w:val="00F667F1"/>
    <w:rsid w:val="00F66941"/>
    <w:rsid w:val="00F669B4"/>
    <w:rsid w:val="00F66B11"/>
    <w:rsid w:val="00F674B9"/>
    <w:rsid w:val="00F70148"/>
    <w:rsid w:val="00F70921"/>
    <w:rsid w:val="00F70A0E"/>
    <w:rsid w:val="00F712AD"/>
    <w:rsid w:val="00F713CF"/>
    <w:rsid w:val="00F718DB"/>
    <w:rsid w:val="00F71EA8"/>
    <w:rsid w:val="00F71FB6"/>
    <w:rsid w:val="00F72238"/>
    <w:rsid w:val="00F723BF"/>
    <w:rsid w:val="00F7278A"/>
    <w:rsid w:val="00F729D4"/>
    <w:rsid w:val="00F72A2B"/>
    <w:rsid w:val="00F73B01"/>
    <w:rsid w:val="00F73F95"/>
    <w:rsid w:val="00F73FAF"/>
    <w:rsid w:val="00F7416C"/>
    <w:rsid w:val="00F74BA4"/>
    <w:rsid w:val="00F75067"/>
    <w:rsid w:val="00F751C2"/>
    <w:rsid w:val="00F75211"/>
    <w:rsid w:val="00F7545E"/>
    <w:rsid w:val="00F75551"/>
    <w:rsid w:val="00F7561A"/>
    <w:rsid w:val="00F7610B"/>
    <w:rsid w:val="00F76322"/>
    <w:rsid w:val="00F76669"/>
    <w:rsid w:val="00F76E70"/>
    <w:rsid w:val="00F76F31"/>
    <w:rsid w:val="00F77290"/>
    <w:rsid w:val="00F800D4"/>
    <w:rsid w:val="00F8047F"/>
    <w:rsid w:val="00F807D9"/>
    <w:rsid w:val="00F80A54"/>
    <w:rsid w:val="00F80C82"/>
    <w:rsid w:val="00F80D47"/>
    <w:rsid w:val="00F80E6D"/>
    <w:rsid w:val="00F8139C"/>
    <w:rsid w:val="00F819F8"/>
    <w:rsid w:val="00F81A12"/>
    <w:rsid w:val="00F81C97"/>
    <w:rsid w:val="00F81DDF"/>
    <w:rsid w:val="00F82943"/>
    <w:rsid w:val="00F8352F"/>
    <w:rsid w:val="00F8374C"/>
    <w:rsid w:val="00F83B3E"/>
    <w:rsid w:val="00F83F22"/>
    <w:rsid w:val="00F840BB"/>
    <w:rsid w:val="00F842AB"/>
    <w:rsid w:val="00F84CBD"/>
    <w:rsid w:val="00F85A0C"/>
    <w:rsid w:val="00F861E4"/>
    <w:rsid w:val="00F86220"/>
    <w:rsid w:val="00F86DDB"/>
    <w:rsid w:val="00F86F45"/>
    <w:rsid w:val="00F8714D"/>
    <w:rsid w:val="00F87354"/>
    <w:rsid w:val="00F877EF"/>
    <w:rsid w:val="00F877F6"/>
    <w:rsid w:val="00F90090"/>
    <w:rsid w:val="00F90792"/>
    <w:rsid w:val="00F908A9"/>
    <w:rsid w:val="00F90E2D"/>
    <w:rsid w:val="00F9152F"/>
    <w:rsid w:val="00F915E9"/>
    <w:rsid w:val="00F91671"/>
    <w:rsid w:val="00F928E5"/>
    <w:rsid w:val="00F92E27"/>
    <w:rsid w:val="00F933B1"/>
    <w:rsid w:val="00F93A1F"/>
    <w:rsid w:val="00F93D74"/>
    <w:rsid w:val="00F94078"/>
    <w:rsid w:val="00F94586"/>
    <w:rsid w:val="00F95229"/>
    <w:rsid w:val="00F95946"/>
    <w:rsid w:val="00F966C5"/>
    <w:rsid w:val="00F973BC"/>
    <w:rsid w:val="00F97677"/>
    <w:rsid w:val="00F977DA"/>
    <w:rsid w:val="00F97928"/>
    <w:rsid w:val="00F97C14"/>
    <w:rsid w:val="00FA0735"/>
    <w:rsid w:val="00FA09E8"/>
    <w:rsid w:val="00FA0A08"/>
    <w:rsid w:val="00FA0C47"/>
    <w:rsid w:val="00FA0F2D"/>
    <w:rsid w:val="00FA17E4"/>
    <w:rsid w:val="00FA1AA5"/>
    <w:rsid w:val="00FA1B04"/>
    <w:rsid w:val="00FA24FF"/>
    <w:rsid w:val="00FA25F7"/>
    <w:rsid w:val="00FA2EBC"/>
    <w:rsid w:val="00FA301D"/>
    <w:rsid w:val="00FA34D4"/>
    <w:rsid w:val="00FA3597"/>
    <w:rsid w:val="00FA41E3"/>
    <w:rsid w:val="00FA4254"/>
    <w:rsid w:val="00FA5A34"/>
    <w:rsid w:val="00FA5BE8"/>
    <w:rsid w:val="00FA6026"/>
    <w:rsid w:val="00FA61F6"/>
    <w:rsid w:val="00FA6423"/>
    <w:rsid w:val="00FA66A4"/>
    <w:rsid w:val="00FA675E"/>
    <w:rsid w:val="00FA6976"/>
    <w:rsid w:val="00FA6C56"/>
    <w:rsid w:val="00FA7128"/>
    <w:rsid w:val="00FA7268"/>
    <w:rsid w:val="00FA7389"/>
    <w:rsid w:val="00FA7929"/>
    <w:rsid w:val="00FA7AEC"/>
    <w:rsid w:val="00FA7D9C"/>
    <w:rsid w:val="00FA7EEB"/>
    <w:rsid w:val="00FB069A"/>
    <w:rsid w:val="00FB0C9C"/>
    <w:rsid w:val="00FB1736"/>
    <w:rsid w:val="00FB1DB9"/>
    <w:rsid w:val="00FB2271"/>
    <w:rsid w:val="00FB2BD6"/>
    <w:rsid w:val="00FB2E05"/>
    <w:rsid w:val="00FB33E8"/>
    <w:rsid w:val="00FB35CD"/>
    <w:rsid w:val="00FB3AA2"/>
    <w:rsid w:val="00FB3E3E"/>
    <w:rsid w:val="00FB4C3F"/>
    <w:rsid w:val="00FB5486"/>
    <w:rsid w:val="00FB5489"/>
    <w:rsid w:val="00FB563E"/>
    <w:rsid w:val="00FB632F"/>
    <w:rsid w:val="00FB68A7"/>
    <w:rsid w:val="00FB6C61"/>
    <w:rsid w:val="00FB71FB"/>
    <w:rsid w:val="00FB7FD4"/>
    <w:rsid w:val="00FC0584"/>
    <w:rsid w:val="00FC0605"/>
    <w:rsid w:val="00FC0740"/>
    <w:rsid w:val="00FC1028"/>
    <w:rsid w:val="00FC1466"/>
    <w:rsid w:val="00FC1A82"/>
    <w:rsid w:val="00FC1D1F"/>
    <w:rsid w:val="00FC2222"/>
    <w:rsid w:val="00FC2A96"/>
    <w:rsid w:val="00FC2D03"/>
    <w:rsid w:val="00FC2F94"/>
    <w:rsid w:val="00FC3031"/>
    <w:rsid w:val="00FC3EA0"/>
    <w:rsid w:val="00FC3FF1"/>
    <w:rsid w:val="00FC41F6"/>
    <w:rsid w:val="00FC4E7D"/>
    <w:rsid w:val="00FC5031"/>
    <w:rsid w:val="00FC5691"/>
    <w:rsid w:val="00FC56A7"/>
    <w:rsid w:val="00FC5BF8"/>
    <w:rsid w:val="00FC61AD"/>
    <w:rsid w:val="00FC61DE"/>
    <w:rsid w:val="00FC707F"/>
    <w:rsid w:val="00FC7686"/>
    <w:rsid w:val="00FC79F7"/>
    <w:rsid w:val="00FC7C09"/>
    <w:rsid w:val="00FD056F"/>
    <w:rsid w:val="00FD05D9"/>
    <w:rsid w:val="00FD07D3"/>
    <w:rsid w:val="00FD0AA4"/>
    <w:rsid w:val="00FD0BBB"/>
    <w:rsid w:val="00FD0CEE"/>
    <w:rsid w:val="00FD121D"/>
    <w:rsid w:val="00FD1506"/>
    <w:rsid w:val="00FD163F"/>
    <w:rsid w:val="00FD180C"/>
    <w:rsid w:val="00FD1DAE"/>
    <w:rsid w:val="00FD2278"/>
    <w:rsid w:val="00FD24D0"/>
    <w:rsid w:val="00FD27E6"/>
    <w:rsid w:val="00FD2F00"/>
    <w:rsid w:val="00FD3179"/>
    <w:rsid w:val="00FD35DF"/>
    <w:rsid w:val="00FD42FD"/>
    <w:rsid w:val="00FD49BE"/>
    <w:rsid w:val="00FD65BA"/>
    <w:rsid w:val="00FD68CD"/>
    <w:rsid w:val="00FD6BC0"/>
    <w:rsid w:val="00FD7002"/>
    <w:rsid w:val="00FD7710"/>
    <w:rsid w:val="00FD7C3D"/>
    <w:rsid w:val="00FE0C4F"/>
    <w:rsid w:val="00FE197B"/>
    <w:rsid w:val="00FE1A47"/>
    <w:rsid w:val="00FE1B24"/>
    <w:rsid w:val="00FE2E9A"/>
    <w:rsid w:val="00FE3171"/>
    <w:rsid w:val="00FE34E4"/>
    <w:rsid w:val="00FE3E59"/>
    <w:rsid w:val="00FE4081"/>
    <w:rsid w:val="00FE4BB6"/>
    <w:rsid w:val="00FE4D0B"/>
    <w:rsid w:val="00FE4DBA"/>
    <w:rsid w:val="00FE4F9B"/>
    <w:rsid w:val="00FE5345"/>
    <w:rsid w:val="00FE553F"/>
    <w:rsid w:val="00FE5E9F"/>
    <w:rsid w:val="00FE5F9F"/>
    <w:rsid w:val="00FE7391"/>
    <w:rsid w:val="00FE7DB8"/>
    <w:rsid w:val="00FF0208"/>
    <w:rsid w:val="00FF04B9"/>
    <w:rsid w:val="00FF09A2"/>
    <w:rsid w:val="00FF0BD5"/>
    <w:rsid w:val="00FF160F"/>
    <w:rsid w:val="00FF24DE"/>
    <w:rsid w:val="00FF2B8E"/>
    <w:rsid w:val="00FF3506"/>
    <w:rsid w:val="00FF37E1"/>
    <w:rsid w:val="00FF39C1"/>
    <w:rsid w:val="00FF503F"/>
    <w:rsid w:val="00FF5104"/>
    <w:rsid w:val="00FF596C"/>
    <w:rsid w:val="00FF5BBD"/>
    <w:rsid w:val="00FF5C98"/>
    <w:rsid w:val="00FF5F73"/>
    <w:rsid w:val="00FF624B"/>
    <w:rsid w:val="00FF69CA"/>
    <w:rsid w:val="00FF6B98"/>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61"/>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semiHidden/>
    <w:unhideWhenUsed/>
    <w:rsid w:val="00082E65"/>
    <w:rPr>
      <w:sz w:val="20"/>
      <w:szCs w:val="20"/>
    </w:rPr>
  </w:style>
  <w:style w:type="character" w:customStyle="1" w:styleId="TextocomentarioCar">
    <w:name w:val="Texto comentario Car"/>
    <w:basedOn w:val="Fuentedeprrafopredeter"/>
    <w:link w:val="Textocomentario"/>
    <w:uiPriority w:val="99"/>
    <w:semiHidden/>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10988100">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936333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173185968">
      <w:bodyDiv w:val="1"/>
      <w:marLeft w:val="0"/>
      <w:marRight w:val="0"/>
      <w:marTop w:val="0"/>
      <w:marBottom w:val="0"/>
      <w:divBdr>
        <w:top w:val="none" w:sz="0" w:space="0" w:color="auto"/>
        <w:left w:val="none" w:sz="0" w:space="0" w:color="auto"/>
        <w:bottom w:val="none" w:sz="0" w:space="0" w:color="auto"/>
        <w:right w:val="none" w:sz="0" w:space="0" w:color="auto"/>
      </w:divBdr>
    </w:div>
    <w:div w:id="1192300847">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18152572">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569417460">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35686885">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22448748">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1966697060">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chart" Target="charts/chart4.xml"/><Relationship Id="rId39" Type="http://schemas.openxmlformats.org/officeDocument/2006/relationships/diagramLayout" Target="diagrams/layout4.xml"/><Relationship Id="rId21" Type="http://schemas.microsoft.com/office/2007/relationships/diagramDrawing" Target="diagrams/drawing2.xml"/><Relationship Id="rId34" Type="http://schemas.openxmlformats.org/officeDocument/2006/relationships/chart" Target="charts/chart7.xml"/><Relationship Id="rId42" Type="http://schemas.microsoft.com/office/2007/relationships/diagramDrawing" Target="diagrams/drawing4.xml"/><Relationship Id="rId47" Type="http://schemas.openxmlformats.org/officeDocument/2006/relationships/diagramQuickStyle" Target="diagrams/quickStyle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Layout" Target="diagrams/layout3.xml"/><Relationship Id="rId11" Type="http://schemas.openxmlformats.org/officeDocument/2006/relationships/diagramQuickStyle" Target="diagrams/quickStyle1.xml"/><Relationship Id="rId24" Type="http://schemas.openxmlformats.org/officeDocument/2006/relationships/header" Target="header2.xml"/><Relationship Id="rId32" Type="http://schemas.microsoft.com/office/2007/relationships/diagramDrawing" Target="diagrams/drawing3.xml"/><Relationship Id="rId37" Type="http://schemas.openxmlformats.org/officeDocument/2006/relationships/chart" Target="charts/chart10.xml"/><Relationship Id="rId40" Type="http://schemas.openxmlformats.org/officeDocument/2006/relationships/diagramQuickStyle" Target="diagrams/quickStyle4.xml"/><Relationship Id="rId45" Type="http://schemas.openxmlformats.org/officeDocument/2006/relationships/diagramData" Target="diagrams/data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diagramData" Target="diagrams/data3.xml"/><Relationship Id="rId36" Type="http://schemas.openxmlformats.org/officeDocument/2006/relationships/chart" Target="charts/chart9.xml"/><Relationship Id="rId49" Type="http://schemas.microsoft.com/office/2007/relationships/diagramDrawing" Target="diagrams/drawing5.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Colors" Target="diagrams/colors3.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diagramQuickStyle" Target="diagrams/quickStyle3.xm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chart" Target="charts/chart6.xml"/><Relationship Id="rId38" Type="http://schemas.openxmlformats.org/officeDocument/2006/relationships/diagramData" Target="diagrams/data4.xml"/><Relationship Id="rId46" Type="http://schemas.openxmlformats.org/officeDocument/2006/relationships/diagramLayout" Target="diagrams/layout5.xml"/><Relationship Id="rId20" Type="http://schemas.openxmlformats.org/officeDocument/2006/relationships/diagramColors" Target="diagrams/colors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a:t>Ingresos</a:t>
            </a:r>
            <a:r>
              <a:rPr lang="es-GT" sz="1200" baseline="0"/>
              <a:t> Totales</a:t>
            </a:r>
          </a:p>
          <a:p>
            <a:pPr>
              <a:defRPr sz="900">
                <a:solidFill>
                  <a:sysClr val="windowText" lastClr="000000"/>
                </a:solidFill>
              </a:defRPr>
            </a:pPr>
            <a:r>
              <a:rPr lang="es-GT" sz="1100" baseline="0"/>
              <a:t>Variación interanual acumulada </a:t>
            </a:r>
          </a:p>
          <a:p>
            <a:pPr>
              <a:defRPr sz="900">
                <a:solidFill>
                  <a:sysClr val="windowText" lastClr="000000"/>
                </a:solidFill>
              </a:defRPr>
            </a:pPr>
            <a:r>
              <a:rPr lang="es-GT" sz="1100" baseline="0"/>
              <a:t>al 30 de junio de cada año</a:t>
            </a:r>
          </a:p>
          <a:p>
            <a:pPr>
              <a:defRPr sz="900">
                <a:solidFill>
                  <a:sysClr val="windowText" lastClr="000000"/>
                </a:solidFill>
              </a:defRPr>
            </a:pPr>
            <a:r>
              <a:rPr lang="es-GT" sz="1000" b="0" baseline="0"/>
              <a:t>En porcentajes</a:t>
            </a:r>
            <a:endParaRPr lang="es-GT" sz="1000" b="0"/>
          </a:p>
        </c:rich>
      </c:tx>
      <c:layout>
        <c:manualLayout>
          <c:xMode val="edge"/>
          <c:yMode val="edge"/>
          <c:x val="0.18112548438047124"/>
          <c:y val="0"/>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11098347707722211"/>
          <c:y val="0.29397768027088217"/>
          <c:w val="1"/>
          <c:h val="0.49532327543026589"/>
        </c:manualLayout>
      </c:layout>
      <c:barChart>
        <c:barDir val="col"/>
        <c:grouping val="clustered"/>
        <c:varyColors val="0"/>
        <c:ser>
          <c:idx val="0"/>
          <c:order val="1"/>
          <c:tx>
            <c:strRef>
              <c:f>Hoja1!$D$1</c:f>
              <c:strCache>
                <c:ptCount val="1"/>
                <c:pt idx="0">
                  <c:v>2020</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1.3507429085997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E-4F11-B795-3C8DE4243CFB}"/>
                </c:ext>
              </c:extLst>
            </c:dLbl>
            <c:dLbl>
              <c:idx val="1"/>
              <c:layout>
                <c:manualLayout>
                  <c:x val="4.3696744592527856E-3"/>
                  <c:y val="-3.053435114503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070-A5FD-52761F3A43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Hoja1!$D$2:$D$7</c:f>
              <c:numCache>
                <c:formatCode>#,##0.0_ ;[Red]\-#,##0.0\ </c:formatCode>
                <c:ptCount val="6"/>
                <c:pt idx="0">
                  <c:v>9.3979182442180953</c:v>
                </c:pt>
                <c:pt idx="1">
                  <c:v>8.9608554268839846</c:v>
                </c:pt>
                <c:pt idx="2">
                  <c:v>-3.027054181871891</c:v>
                </c:pt>
                <c:pt idx="3">
                  <c:v>0.90477629404430715</c:v>
                </c:pt>
                <c:pt idx="4">
                  <c:v>-3.4540328370828877</c:v>
                </c:pt>
                <c:pt idx="5">
                  <c:v>-5.1003803278290789</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2021</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9.00495272399815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E-4F11-B795-3C8DE4243CFB}"/>
                </c:ext>
              </c:extLst>
            </c:dLbl>
            <c:dLbl>
              <c:idx val="3"/>
              <c:layout>
                <c:manualLayout>
                  <c:x val="0"/>
                  <c:y val="-4.5801526717557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E-4F11-B795-3C8DE4243CF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#,##0.0_ ;[Red]\-#,##0.0\ </c:formatCode>
                <c:ptCount val="6"/>
                <c:pt idx="0">
                  <c:v>4.0544284313832168</c:v>
                </c:pt>
                <c:pt idx="1">
                  <c:v>6.0242820348289206</c:v>
                </c:pt>
                <c:pt idx="2">
                  <c:v>20.62324958373911</c:v>
                </c:pt>
                <c:pt idx="3">
                  <c:v>17.992149472702557</c:v>
                </c:pt>
                <c:pt idx="4">
                  <c:v>22.167444368748868</c:v>
                </c:pt>
                <c:pt idx="5">
                  <c:v>24.510240579169729</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2022*</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5.4774385450016255E-2"/>
                  <c:y val="-5.9650978742161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3.0472458148324642E-2"/>
                  <c:y val="-6.7870810041874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#,##0.0_ ;[Red]\-#,##0.0\ </c:formatCode>
                <c:ptCount val="6"/>
                <c:pt idx="0">
                  <c:v>12.408937143953857</c:v>
                </c:pt>
                <c:pt idx="1">
                  <c:v>11.345305510137127</c:v>
                </c:pt>
                <c:pt idx="2">
                  <c:v>14.966480088427536</c:v>
                </c:pt>
                <c:pt idx="3">
                  <c:v>15.746023630749995</c:v>
                </c:pt>
                <c:pt idx="4">
                  <c:v>15.903185796976516</c:v>
                </c:pt>
                <c:pt idx="5">
                  <c:v>16.261561190342654</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
          <c:y val="0.84600108192582779"/>
          <c:w val="0.6715112918577486"/>
          <c:h val="9.30246516019270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Por tipo de intrumento </a:t>
            </a:r>
          </a:p>
          <a:p>
            <a:pPr>
              <a:defRPr b="1">
                <a:solidFill>
                  <a:schemeClr val="tx1"/>
                </a:solidFill>
              </a:defRPr>
            </a:pPr>
            <a:r>
              <a:rPr lang="en-US" sz="900" b="1">
                <a:solidFill>
                  <a:schemeClr val="tx1"/>
                </a:solidFill>
              </a:rPr>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3895438996051417"/>
          <c:y val="0.19398968496750502"/>
          <c:w val="0.28173969894888795"/>
          <c:h val="0.70011036022072048"/>
        </c:manualLayout>
      </c:layout>
      <c:barChart>
        <c:barDir val="bar"/>
        <c:grouping val="clustered"/>
        <c:varyColors val="1"/>
        <c:ser>
          <c:idx val="0"/>
          <c:order val="0"/>
          <c:tx>
            <c:strRef>
              <c:f>Hoja1!$B$1</c:f>
              <c:strCache>
                <c:ptCount val="1"/>
                <c:pt idx="0">
                  <c:v>Diciembre</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0F44-4C92-821A-7F028F1FD3E9}"/>
              </c:ext>
            </c:extLst>
          </c:dPt>
          <c:dPt>
            <c:idx val="1"/>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0F44-4C92-821A-7F028F1FD3E9}"/>
              </c:ext>
            </c:extLst>
          </c:dPt>
          <c:dPt>
            <c:idx val="2"/>
            <c:invertIfNegative val="1"/>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29F-472F-91A8-BB37D81BC0C6}"/>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1-0F44-4C92-821A-7F028F1FD3E9}"/>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3-0F44-4C92-821A-7F028F1FD3E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Titulos de Deuda</c:v>
                </c:pt>
                <c:pt idx="1">
                  <c:v>Otras cuentas por pagar</c:v>
                </c:pt>
                <c:pt idx="2">
                  <c:v>Prestamos</c:v>
                </c:pt>
              </c:strCache>
            </c:strRef>
          </c:cat>
          <c:val>
            <c:numRef>
              <c:f>Hoja1!$B$2:$B$4</c:f>
              <c:numCache>
                <c:formatCode>#,##0.0_ ;[Red]\-#,##0.0\ </c:formatCode>
                <c:ptCount val="3"/>
                <c:pt idx="0">
                  <c:v>6307.1078596299994</c:v>
                </c:pt>
                <c:pt idx="1">
                  <c:v>13.444778629999981</c:v>
                </c:pt>
                <c:pt idx="2">
                  <c:v>-1086.3356770800003</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0-92B5-4ECC-B1F9-B9EE3AEC1E4F}"/>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12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a:solidFill>
                  <a:sysClr val="windowText" lastClr="000000"/>
                </a:solidFill>
              </a:defRPr>
            </a:pPr>
            <a:r>
              <a:rPr lang="es-GT" sz="1100" b="1" i="0" baseline="0">
                <a:effectLst/>
              </a:rPr>
              <a:t>Variaciones interanuales acumuladas a junio 2022* </a:t>
            </a:r>
            <a:endParaRPr lang="es-GT" sz="1100">
              <a:effectLst/>
            </a:endParaRPr>
          </a:p>
          <a:p>
            <a:pPr>
              <a:defRPr sz="120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23946759259259259"/>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1064468503937009"/>
          <c:y val="0.14565996699406725"/>
          <c:w val="0.68935531496062996"/>
          <c:h val="0.79207363311288181"/>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5E-4CD5-BF69-A6C38307C770}"/>
                </c:ext>
              </c:extLst>
            </c:dLbl>
            <c:dLbl>
              <c:idx val="3"/>
              <c:layout>
                <c:manualLayout>
                  <c:x val="0"/>
                  <c:y val="-6.740939377156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E-4CD5-BF69-A6C38307C770}"/>
                </c:ext>
              </c:extLst>
            </c:dLbl>
            <c:dLbl>
              <c:idx val="9"/>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5E-4CD5-BF69-A6C38307C770}"/>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Asuntos económicos </c:v>
                </c:pt>
                <c:pt idx="1">
                  <c:v>Educación </c:v>
                </c:pt>
                <c:pt idx="2">
                  <c:v>Orden público y seguridad </c:v>
                </c:pt>
                <c:pt idx="3">
                  <c:v>Vivienda y servicios comunitarios </c:v>
                </c:pt>
                <c:pt idx="4">
                  <c:v>Salud </c:v>
                </c:pt>
                <c:pt idx="5">
                  <c:v>Servicios públicos generales </c:v>
                </c:pt>
                <c:pt idx="6">
                  <c:v>Protección social </c:v>
                </c:pt>
                <c:pt idx="7">
                  <c:v>Defensa </c:v>
                </c:pt>
                <c:pt idx="8">
                  <c:v>Protección del medio ambiente </c:v>
                </c:pt>
                <c:pt idx="9">
                  <c:v>Actividades recreativas, cultura y religión </c:v>
                </c:pt>
              </c:strCache>
            </c:strRef>
          </c:cat>
          <c:val>
            <c:numRef>
              <c:f>Hoja1!$B$2:$B$11</c:f>
              <c:numCache>
                <c:formatCode>_(* #,##0.00_);_(* \(#,##0.00\);_(* "-"??_);_(@_)</c:formatCode>
                <c:ptCount val="10"/>
                <c:pt idx="0">
                  <c:v>1484.2350918400011</c:v>
                </c:pt>
                <c:pt idx="1">
                  <c:v>1438.6577427400007</c:v>
                </c:pt>
                <c:pt idx="2">
                  <c:v>748.85470010000063</c:v>
                </c:pt>
                <c:pt idx="3">
                  <c:v>703.29922809000027</c:v>
                </c:pt>
                <c:pt idx="4">
                  <c:v>466.53317637999862</c:v>
                </c:pt>
                <c:pt idx="5">
                  <c:v>436.96900709999863</c:v>
                </c:pt>
                <c:pt idx="6">
                  <c:v>385.74537518000034</c:v>
                </c:pt>
                <c:pt idx="7">
                  <c:v>316.59714262999978</c:v>
                </c:pt>
                <c:pt idx="8">
                  <c:v>88.643083970000021</c:v>
                </c:pt>
                <c:pt idx="9">
                  <c:v>38.643602740000063</c:v>
                </c:pt>
              </c:numCache>
            </c:numRef>
          </c:val>
          <c:extLst>
            <c:ext xmlns:c16="http://schemas.microsoft.com/office/drawing/2014/chart" uri="{C3380CC4-5D6E-409C-BE32-E72D297353CC}">
              <c16:uniqueId val="{00000003-8E5E-4CD5-BF69-A6C38307C770}"/>
            </c:ext>
          </c:extLst>
        </c:ser>
        <c:ser>
          <c:idx val="1"/>
          <c:order val="1"/>
          <c:tx>
            <c:strRef>
              <c:f>Hoja1!$C$1</c:f>
              <c:strCache>
                <c:ptCount val="1"/>
                <c:pt idx="0">
                  <c:v>2021</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5E-4CD5-BF69-A6C38307C770}"/>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Asuntos económicos </c:v>
                </c:pt>
                <c:pt idx="1">
                  <c:v>Educación </c:v>
                </c:pt>
                <c:pt idx="2">
                  <c:v>Orden público y seguridad </c:v>
                </c:pt>
                <c:pt idx="3">
                  <c:v>Vivienda y servicios comunitarios </c:v>
                </c:pt>
                <c:pt idx="4">
                  <c:v>Salud </c:v>
                </c:pt>
                <c:pt idx="5">
                  <c:v>Servicios públicos generales </c:v>
                </c:pt>
                <c:pt idx="6">
                  <c:v>Protección social </c:v>
                </c:pt>
                <c:pt idx="7">
                  <c:v>Defensa </c:v>
                </c:pt>
                <c:pt idx="8">
                  <c:v>Protección del medio ambiente </c:v>
                </c:pt>
                <c:pt idx="9">
                  <c:v>Actividades recreativas, cultura y religión </c:v>
                </c:pt>
              </c:strCache>
            </c:strRef>
          </c:cat>
          <c:val>
            <c:numRef>
              <c:f>Hoja1!$C$2:$C$11</c:f>
              <c:numCache>
                <c:formatCode>_(* #,##0.00_);_(* \(#,##0.00\);_(* "-"??_);_(@_)</c:formatCode>
                <c:ptCount val="10"/>
                <c:pt idx="0">
                  <c:v>875.03186948999974</c:v>
                </c:pt>
                <c:pt idx="1">
                  <c:v>53.679434679999758</c:v>
                </c:pt>
                <c:pt idx="2">
                  <c:v>267.36368176999895</c:v>
                </c:pt>
                <c:pt idx="3">
                  <c:v>52.586120439999831</c:v>
                </c:pt>
                <c:pt idx="4">
                  <c:v>1281.4436067300012</c:v>
                </c:pt>
                <c:pt idx="5">
                  <c:v>1217.7524132800008</c:v>
                </c:pt>
                <c:pt idx="6">
                  <c:v>-2296.3163619199995</c:v>
                </c:pt>
                <c:pt idx="7">
                  <c:v>46.971804790000078</c:v>
                </c:pt>
                <c:pt idx="8">
                  <c:v>53.055944880000027</c:v>
                </c:pt>
                <c:pt idx="9">
                  <c:v>50.438080040000045</c:v>
                </c:pt>
              </c:numCache>
            </c:numRef>
          </c:val>
          <c:extLst>
            <c:ext xmlns:c16="http://schemas.microsoft.com/office/drawing/2014/chart" uri="{C3380CC4-5D6E-409C-BE32-E72D297353CC}">
              <c16:uniqueId val="{00000005-8E5E-4CD5-BF69-A6C38307C770}"/>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min val="-2600"/>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87127627129211027"/>
          <c:y val="0.14825511217877427"/>
          <c:w val="9.2958543888412404E-2"/>
          <c:h val="8.2177143111348369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i="0">
                <a:effectLst/>
              </a:rPr>
              <a:t>𝐆𝐫𝐚𝐝𝐨 𝐝𝐞 𝐄𝐣𝐞𝐜𝐮𝐜𝐢ó𝐧 𝐩𝐨𝐫 𝐄𝐧𝐭𝐢𝐝𝐚𝐝 </a:t>
            </a:r>
            <a:r>
              <a:rPr lang="es-MX" sz="1100" b="1" i="0" baseline="30000">
                <a:effectLst/>
              </a:rPr>
              <a:t>𝟏/</a:t>
            </a:r>
            <a:endParaRPr lang="es-GT" sz="1100" baseline="30000">
              <a:effectLst/>
            </a:endParaRPr>
          </a:p>
          <a:p>
            <a:pPr>
              <a:defRPr/>
            </a:pPr>
            <a:r>
              <a:rPr lang="es-MX" sz="1050" b="1">
                <a:effectLst/>
              </a:rPr>
              <a:t>Cifras a junio de 2022*</a:t>
            </a:r>
            <a:endParaRPr lang="es-GT" sz="1050">
              <a:effectLst/>
            </a:endParaRPr>
          </a:p>
          <a:p>
            <a:pPr>
              <a:defRPr/>
            </a:pPr>
            <a:r>
              <a:rPr lang="es-MX" sz="1000">
                <a:effectLst/>
              </a:rPr>
              <a:t>En porcentajes</a:t>
            </a:r>
            <a:endParaRPr lang="es-GT" sz="1000">
              <a:effectLst/>
            </a:endParaRPr>
          </a:p>
        </c:rich>
      </c:tx>
      <c:layout>
        <c:manualLayout>
          <c:xMode val="edge"/>
          <c:yMode val="edge"/>
          <c:x val="0.182232950857814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5.5104907888233662E-2"/>
          <c:y val="0.11960820848314208"/>
          <c:w val="0.96086113161048337"/>
          <c:h val="0.74437101612298462"/>
        </c:manualLayout>
      </c:layout>
      <c:barChart>
        <c:barDir val="bar"/>
        <c:grouping val="clustered"/>
        <c:varyColors val="0"/>
        <c:ser>
          <c:idx val="0"/>
          <c:order val="0"/>
          <c:tx>
            <c:strRef>
              <c:f>Sheet1!$B$1</c:f>
              <c:strCache>
                <c:ptCount val="1"/>
                <c:pt idx="0">
                  <c:v>%</c:v>
                </c:pt>
              </c:strCache>
            </c:strRef>
          </c:tx>
          <c:spPr>
            <a:solidFill>
              <a:schemeClr val="accent2">
                <a:lumMod val="60000"/>
                <a:lumOff val="4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extLst>
              <c:ext xmlns:c16="http://schemas.microsoft.com/office/drawing/2014/chart" uri="{C3380CC4-5D6E-409C-BE32-E72D297353CC}">
                <c16:uniqueId val="{00000000-1555-488B-8CF5-F45EFE7794A5}"/>
              </c:ext>
            </c:extLst>
          </c:dPt>
          <c:dPt>
            <c:idx val="7"/>
            <c:invertIfNegative val="0"/>
            <c:bubble3D val="0"/>
            <c:extLst>
              <c:ext xmlns:c16="http://schemas.microsoft.com/office/drawing/2014/chart" uri="{C3380CC4-5D6E-409C-BE32-E72D297353CC}">
                <c16:uniqueId val="{00000001-1555-488B-8CF5-F45EFE7794A5}"/>
              </c:ext>
            </c:extLst>
          </c:dPt>
          <c:dPt>
            <c:idx val="8"/>
            <c:invertIfNegative val="0"/>
            <c:bubble3D val="0"/>
            <c:extLst>
              <c:ext xmlns:c16="http://schemas.microsoft.com/office/drawing/2014/chart" uri="{C3380CC4-5D6E-409C-BE32-E72D297353CC}">
                <c16:uniqueId val="{00000002-1555-488B-8CF5-F45EFE7794A5}"/>
              </c:ext>
            </c:extLst>
          </c:dPt>
          <c:dPt>
            <c:idx val="9"/>
            <c:invertIfNegative val="0"/>
            <c:bubble3D val="0"/>
            <c:extLst>
              <c:ext xmlns:c16="http://schemas.microsoft.com/office/drawing/2014/chart" uri="{C3380CC4-5D6E-409C-BE32-E72D297353CC}">
                <c16:uniqueId val="{00000003-1555-488B-8CF5-F45EFE7794A5}"/>
              </c:ext>
            </c:extLst>
          </c:dPt>
          <c:dPt>
            <c:idx val="10"/>
            <c:invertIfNegative val="0"/>
            <c:bubble3D val="0"/>
            <c:spPr>
              <a:solidFill>
                <a:schemeClr val="accent2">
                  <a:lumMod val="75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4-1555-488B-8CF5-F45EFE7794A5}"/>
              </c:ext>
            </c:extLst>
          </c:dPt>
          <c:dPt>
            <c:idx val="11"/>
            <c:invertIfNegative val="0"/>
            <c:bubble3D val="0"/>
            <c:extLst>
              <c:ext xmlns:c16="http://schemas.microsoft.com/office/drawing/2014/chart" uri="{C3380CC4-5D6E-409C-BE32-E72D297353CC}">
                <c16:uniqueId val="{00000006-1555-488B-8CF5-F45EFE7794A5}"/>
              </c:ext>
            </c:extLst>
          </c:dPt>
          <c:dPt>
            <c:idx val="13"/>
            <c:invertIfNegative val="0"/>
            <c:bubble3D val="0"/>
            <c:extLst>
              <c:ext xmlns:c16="http://schemas.microsoft.com/office/drawing/2014/chart" uri="{C3380CC4-5D6E-409C-BE32-E72D297353CC}">
                <c16:uniqueId val="{00000007-1555-488B-8CF5-F45EFE7794A5}"/>
              </c:ext>
            </c:extLst>
          </c:dPt>
          <c:dLbls>
            <c:dLbl>
              <c:idx val="1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4-1555-488B-8CF5-F45EFE7794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Comunicaciones</c:v>
                </c:pt>
                <c:pt idx="1">
                  <c:v>Economía</c:v>
                </c:pt>
                <c:pt idx="2">
                  <c:v>Ambiente </c:v>
                </c:pt>
                <c:pt idx="3">
                  <c:v>Cultura</c:v>
                </c:pt>
                <c:pt idx="4">
                  <c:v>Desarrollo</c:v>
                </c:pt>
                <c:pt idx="5">
                  <c:v>Finanzas</c:v>
                </c:pt>
                <c:pt idx="6">
                  <c:v>Secretarías</c:v>
                </c:pt>
                <c:pt idx="7">
                  <c:v>Gobernación</c:v>
                </c:pt>
                <c:pt idx="8">
                  <c:v>Salud Pública </c:v>
                </c:pt>
                <c:pt idx="9">
                  <c:v>Agricultura</c:v>
                </c:pt>
                <c:pt idx="10">
                  <c:v>Total</c:v>
                </c:pt>
                <c:pt idx="11">
                  <c:v>Obligaciones </c:v>
                </c:pt>
                <c:pt idx="12">
                  <c:v>Trabajo </c:v>
                </c:pt>
                <c:pt idx="13">
                  <c:v>MINREX</c:v>
                </c:pt>
                <c:pt idx="14">
                  <c:v>Defensa </c:v>
                </c:pt>
                <c:pt idx="15">
                  <c:v>Educación </c:v>
                </c:pt>
                <c:pt idx="16">
                  <c:v>Presidencia</c:v>
                </c:pt>
                <c:pt idx="17">
                  <c:v>Deuda Pública</c:v>
                </c:pt>
                <c:pt idx="18">
                  <c:v>PGN</c:v>
                </c:pt>
                <c:pt idx="19">
                  <c:v>Energía</c:v>
                </c:pt>
              </c:strCache>
            </c:strRef>
          </c:cat>
          <c:val>
            <c:numRef>
              <c:f>Sheet1!$B$2:$B$21</c:f>
              <c:numCache>
                <c:formatCode>0.0</c:formatCode>
                <c:ptCount val="20"/>
                <c:pt idx="0">
                  <c:v>28.423636801065449</c:v>
                </c:pt>
                <c:pt idx="1">
                  <c:v>29.210631639332007</c:v>
                </c:pt>
                <c:pt idx="2">
                  <c:v>31.51406947178582</c:v>
                </c:pt>
                <c:pt idx="3">
                  <c:v>31.778526565095245</c:v>
                </c:pt>
                <c:pt idx="4">
                  <c:v>36.059087199206935</c:v>
                </c:pt>
                <c:pt idx="5">
                  <c:v>37.71959665595255</c:v>
                </c:pt>
                <c:pt idx="6">
                  <c:v>38.395049743988153</c:v>
                </c:pt>
                <c:pt idx="7">
                  <c:v>38.648753525857103</c:v>
                </c:pt>
                <c:pt idx="8">
                  <c:v>39.222646481470477</c:v>
                </c:pt>
                <c:pt idx="9">
                  <c:v>39.636541640917486</c:v>
                </c:pt>
                <c:pt idx="10">
                  <c:v>42.328003937974145</c:v>
                </c:pt>
                <c:pt idx="11">
                  <c:v>42.852918211392463</c:v>
                </c:pt>
                <c:pt idx="12">
                  <c:v>43.984564537893476</c:v>
                </c:pt>
                <c:pt idx="13">
                  <c:v>44.042133699000772</c:v>
                </c:pt>
                <c:pt idx="14">
                  <c:v>44.136387514163481</c:v>
                </c:pt>
                <c:pt idx="15">
                  <c:v>45.909726802947212</c:v>
                </c:pt>
                <c:pt idx="16">
                  <c:v>46.05560635121951</c:v>
                </c:pt>
                <c:pt idx="17">
                  <c:v>47.732185522400734</c:v>
                </c:pt>
                <c:pt idx="18">
                  <c:v>47.733131346666674</c:v>
                </c:pt>
                <c:pt idx="19">
                  <c:v>55.542108841064753</c:v>
                </c:pt>
              </c:numCache>
            </c:numRef>
          </c:val>
          <c:extLst>
            <c:ext xmlns:c16="http://schemas.microsoft.com/office/drawing/2014/chart" uri="{C3380CC4-5D6E-409C-BE32-E72D297353CC}">
              <c16:uniqueId val="{00000008-1555-488B-8CF5-F45EFE7794A5}"/>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a:pPr>
            <a:r>
              <a:rPr lang="en-US" sz="1100" b="1">
                <a:solidFill>
                  <a:sysClr val="windowText" lastClr="000000"/>
                </a:solidFill>
              </a:rPr>
              <a:t>Variación interanual acumulada a junio</a:t>
            </a:r>
            <a:r>
              <a:rPr lang="en-US" sz="1100" b="1" baseline="0">
                <a:solidFill>
                  <a:sysClr val="windowText" lastClr="000000"/>
                </a:solidFill>
              </a:rPr>
              <a:t> </a:t>
            </a:r>
            <a:r>
              <a:rPr lang="en-US" sz="1100" b="1">
                <a:solidFill>
                  <a:sysClr val="windowText" lastClr="000000"/>
                </a:solidFill>
              </a:rPr>
              <a:t>2022*</a:t>
            </a:r>
          </a:p>
          <a:p>
            <a:pPr>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Otros ingresos </c:v>
                </c:pt>
                <c:pt idx="2">
                  <c:v>Contribuciones sociales </c:v>
                </c:pt>
                <c:pt idx="3">
                  <c:v>Donaciones </c:v>
                </c:pt>
                <c:pt idx="4">
                  <c:v>Ingresos Totales</c:v>
                </c:pt>
              </c:strCache>
            </c:strRef>
          </c:cat>
          <c:val>
            <c:numRef>
              <c:f>Hoja1!$B$2:$B$6</c:f>
              <c:numCache>
                <c:formatCode>#,##0.0_ ;[Red]\-#,##0.0\ </c:formatCode>
                <c:ptCount val="5"/>
                <c:pt idx="0">
                  <c:v>6212.3786914399971</c:v>
                </c:pt>
                <c:pt idx="1">
                  <c:v>144.36654983000005</c:v>
                </c:pt>
                <c:pt idx="2">
                  <c:v>15.819278650000342</c:v>
                </c:pt>
                <c:pt idx="3">
                  <c:v>-31.844598799999986</c:v>
                </c:pt>
                <c:pt idx="4">
                  <c:v>6340.7199211199968</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b="0">
                <a:solidFill>
                  <a:sysClr val="windowText" lastClr="000000"/>
                </a:solidFill>
              </a:defRPr>
            </a:pPr>
            <a:r>
              <a:rPr lang="es-GT" sz="1050" b="1" i="0" baseline="0">
                <a:effectLst/>
              </a:rPr>
              <a:t>Variación interanual acumulada a junio* </a:t>
            </a:r>
            <a:endParaRPr lang="es-GT" sz="1050">
              <a:effectLst/>
            </a:endParaRPr>
          </a:p>
          <a:p>
            <a:pPr>
              <a:defRPr b="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2812953624242659"/>
          <c:y val="1.5077159064901668E-3"/>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51727859860214098"/>
          <c:y val="0.13769355385600723"/>
          <c:w val="0.44755964493202394"/>
          <c:h val="0.78432943713973569"/>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6035-4FD0-8846-C058D9E2CEE6}"/>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Hoja1!$B$2:$B$7</c:f>
              <c:numCache>
                <c:formatCode>#,##0.0_ ;[Red]\-#,##0.0\ </c:formatCode>
                <c:ptCount val="6"/>
                <c:pt idx="0" formatCode="_(* #,##0.00_);_(* \(#,##0.00\);_(* &quot;-&quot;??_);_(@_)">
                  <c:v>6212.3786914400034</c:v>
                </c:pt>
                <c:pt idx="1">
                  <c:v>3352.1736630400046</c:v>
                </c:pt>
                <c:pt idx="2">
                  <c:v>2529.733069259999</c:v>
                </c:pt>
                <c:pt idx="3">
                  <c:v>284.30724669999972</c:v>
                </c:pt>
                <c:pt idx="4">
                  <c:v>39.48575637999997</c:v>
                </c:pt>
                <c:pt idx="5">
                  <c:v>6.6789560600000026</c:v>
                </c:pt>
              </c:numCache>
            </c:numRef>
          </c:val>
          <c:extLst>
            <c:ext xmlns:c16="http://schemas.microsoft.com/office/drawing/2014/chart" uri="{C3380CC4-5D6E-409C-BE32-E72D297353CC}">
              <c16:uniqueId val="{00000002-6035-4FD0-8846-C058D9E2CEE6}"/>
            </c:ext>
          </c:extLst>
        </c:ser>
        <c:ser>
          <c:idx val="1"/>
          <c:order val="1"/>
          <c:tx>
            <c:strRef>
              <c:f>Hoja1!$C$1</c:f>
              <c:strCache>
                <c:ptCount val="1"/>
                <c:pt idx="0">
                  <c:v>2021</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4-6035-4FD0-8846-C058D9E2CEE6}"/>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Hoja1!$C$2:$C$7</c:f>
              <c:numCache>
                <c:formatCode>_(* #,##0.00_);_(* \(#,##0.00\);_(* "-"??_);_(@_)</c:formatCode>
                <c:ptCount val="6"/>
                <c:pt idx="0">
                  <c:v>7433.3660815700005</c:v>
                </c:pt>
                <c:pt idx="1">
                  <c:v>4868.14535282</c:v>
                </c:pt>
                <c:pt idx="2">
                  <c:v>2029.1979936200005</c:v>
                </c:pt>
                <c:pt idx="3">
                  <c:v>437.5751214500001</c:v>
                </c:pt>
                <c:pt idx="4">
                  <c:v>93.716417029999974</c:v>
                </c:pt>
                <c:pt idx="5">
                  <c:v>4.731196650000002</c:v>
                </c:pt>
              </c:numCache>
            </c:numRef>
          </c:val>
          <c:extLst>
            <c:ext xmlns:c16="http://schemas.microsoft.com/office/drawing/2014/chart" uri="{C3380CC4-5D6E-409C-BE32-E72D297353CC}">
              <c16:uniqueId val="{00000005-6035-4FD0-8846-C058D9E2CEE6}"/>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scaling>
        <c:delete val="1"/>
        <c:axPos val="b"/>
        <c:numFmt formatCode="_(* #,##0.00_);_(* \(#,##0.00\);_(* &quot;-&quot;??_);_(@_)" sourceLinked="1"/>
        <c:majorTickMark val="none"/>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6606571182347527"/>
          <c:y val="0.1376222073616396"/>
          <c:w val="0.16702252106127183"/>
          <c:h val="8.566759597634027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a:ln>
                  <a:noFill/>
                </a:ln>
              </a:defRPr>
            </a:pPr>
            <a:r>
              <a:rPr lang="en-US" sz="1050" b="1" i="0" baseline="0">
                <a:solidFill>
                  <a:sysClr val="windowText" lastClr="000000"/>
                </a:solidFill>
                <a:effectLst/>
              </a:rPr>
              <a:t>Variación internanual acumulada </a:t>
            </a:r>
          </a:p>
          <a:p>
            <a:pPr>
              <a:defRPr>
                <a:ln>
                  <a:noFill/>
                </a:ln>
              </a:defRPr>
            </a:pPr>
            <a:r>
              <a:rPr lang="en-US" sz="1050" b="1" i="0" baseline="0">
                <a:solidFill>
                  <a:sysClr val="windowText" lastClr="000000"/>
                </a:solidFill>
                <a:effectLst/>
              </a:rPr>
              <a:t>al 30 de junio de cada año</a:t>
            </a:r>
            <a:endParaRPr lang="es-GT" sz="1050" b="1">
              <a:solidFill>
                <a:sysClr val="windowText" lastClr="000000"/>
              </a:solidFill>
              <a:effectLst/>
            </a:endParaRPr>
          </a:p>
          <a:p>
            <a:pPr>
              <a:defRPr>
                <a:ln>
                  <a:noFill/>
                </a:ln>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633665559246954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071389332147439E-2"/>
          <c:y val="0.2699392524001436"/>
          <c:w val="0.90692861066785257"/>
          <c:h val="0.52148520384749941"/>
        </c:manualLayout>
      </c:layout>
      <c:barChart>
        <c:barDir val="col"/>
        <c:grouping val="clustered"/>
        <c:varyColors val="0"/>
        <c:ser>
          <c:idx val="0"/>
          <c:order val="1"/>
          <c:tx>
            <c:strRef>
              <c:f>Hoja1!$C$1</c:f>
              <c:strCache>
                <c:ptCount val="1"/>
                <c:pt idx="0">
                  <c:v>2021</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4.5745328345584708E-2"/>
                  <c:y val="-1.0579594981819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5-45E4-925D-807B206F1490}"/>
                </c:ext>
              </c:extLst>
            </c:dLbl>
            <c:dLbl>
              <c:idx val="1"/>
              <c:layout>
                <c:manualLayout>
                  <c:x val="-2.3723302229667711E-3"/>
                  <c:y val="-2.0546792306699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5-45E4-925D-807B206F1490}"/>
                </c:ext>
              </c:extLst>
            </c:dLbl>
            <c:dLbl>
              <c:idx val="3"/>
              <c:layout>
                <c:manualLayout>
                  <c:x val="-4.4296788482834993E-3"/>
                  <c:y val="-3.4622042700519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71-45FC-B74E-D69413414AB0}"/>
                </c:ext>
              </c:extLst>
            </c:dLbl>
            <c:dLbl>
              <c:idx val="4"/>
              <c:layout>
                <c:manualLayout>
                  <c:x val="-8.120984074218733E-17"/>
                  <c:y val="-1.7311021350259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1-45FC-B74E-D69413414AB0}"/>
                </c:ext>
              </c:extLst>
            </c:dLbl>
            <c:dLbl>
              <c:idx val="5"/>
              <c:layout>
                <c:manualLayout>
                  <c:x val="-4.4296788482836615E-3"/>
                  <c:y val="5.28735841083915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5-45E4-925D-807B206F1490}"/>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1D-4AC6-8713-E18D74BE5E81}"/>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D-4AC6-8713-E18D74BE5E81}"/>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A-4D11-A436-5D5F21E01012}"/>
                </c:ext>
              </c:extLst>
            </c:dLbl>
            <c:spPr>
              <a:noFill/>
              <a:ln>
                <a:noFill/>
              </a:ln>
              <a:effectLst/>
            </c:spPr>
            <c:txPr>
              <a:bodyPr rot="0" spcFirstLastPara="1" vertOverflow="ellipsis" vert="horz" wrap="square" anchor="ctr" anchorCtr="1"/>
              <a:lstStyle/>
              <a:p>
                <a:pPr>
                  <a:defRPr sz="800" b="0" i="0" u="none" strike="noStrike" kern="1200" baseline="0">
                    <a:solidFill>
                      <a:srgbClr val="C0504D"/>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Hoja1!$C$2:$C$7</c:f>
              <c:numCache>
                <c:formatCode>_-* #,##0.0_-;\-* #,##0.0_-;_-* "-"??_-;_-@_-</c:formatCode>
                <c:ptCount val="6"/>
                <c:pt idx="0">
                  <c:v>3.4909704848578249</c:v>
                </c:pt>
                <c:pt idx="1">
                  <c:v>4.8023061086179375</c:v>
                </c:pt>
                <c:pt idx="2">
                  <c:v>-0.1099249986598938</c:v>
                </c:pt>
                <c:pt idx="3">
                  <c:v>9.8657956894709908</c:v>
                </c:pt>
                <c:pt idx="4">
                  <c:v>12.166836122492587</c:v>
                </c:pt>
                <c:pt idx="5">
                  <c:v>4.0088673450810797</c:v>
                </c:pt>
              </c:numCache>
            </c:numRef>
          </c:val>
          <c:extLst>
            <c:ext xmlns:c16="http://schemas.microsoft.com/office/drawing/2014/chart" uri="{C3380CC4-5D6E-409C-BE32-E72D297353CC}">
              <c16:uniqueId val="{00000001-6BF2-4B79-BA3C-8105E40095DF}"/>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2022*</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2-2E1D-4AC6-8713-E18D74BE5E81}"/>
              </c:ext>
            </c:extLst>
          </c:dPt>
          <c:dPt>
            <c:idx val="11"/>
            <c:marker>
              <c:symbol val="none"/>
            </c:marker>
            <c:bubble3D val="0"/>
            <c:extLst>
              <c:ext xmlns:c16="http://schemas.microsoft.com/office/drawing/2014/chart" uri="{C3380CC4-5D6E-409C-BE32-E72D297353CC}">
                <c16:uniqueId val="{00000004-6C0A-4D11-A436-5D5F21E01012}"/>
              </c:ext>
            </c:extLst>
          </c:dPt>
          <c:dLbls>
            <c:dLbl>
              <c:idx val="0"/>
              <c:layout>
                <c:manualLayout>
                  <c:x val="-4.3509843548699162E-2"/>
                  <c:y val="-6.9282044662449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5-45E4-925D-807B206F1490}"/>
                </c:ext>
              </c:extLst>
            </c:dLbl>
            <c:dLbl>
              <c:idx val="1"/>
              <c:layout>
                <c:manualLayout>
                  <c:x val="-8.2943469275642917E-2"/>
                  <c:y val="-8.3859857967840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A6-450C-9CFD-E2045ED58350}"/>
                </c:ext>
              </c:extLst>
            </c:dLbl>
            <c:dLbl>
              <c:idx val="2"/>
              <c:layout>
                <c:manualLayout>
                  <c:x val="-7.0099144583671225E-2"/>
                  <c:y val="-8.4219701895061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5-45E4-925D-807B206F1490}"/>
                </c:ext>
              </c:extLst>
            </c:dLbl>
            <c:dLbl>
              <c:idx val="3"/>
              <c:layout>
                <c:manualLayout>
                  <c:x val="-7.0863700177012753E-2"/>
                  <c:y val="-0.129154758713441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1-45FC-B74E-D69413414AB0}"/>
                </c:ext>
              </c:extLst>
            </c:dLbl>
            <c:dLbl>
              <c:idx val="4"/>
              <c:layout>
                <c:manualLayout>
                  <c:x val="-7.0863700177012837E-2"/>
                  <c:y val="-0.117614077813268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1-45FC-B74E-D69413414AB0}"/>
                </c:ext>
              </c:extLst>
            </c:dLbl>
            <c:dLbl>
              <c:idx val="5"/>
              <c:layout>
                <c:manualLayout>
                  <c:x val="-3.2731538458372338E-2"/>
                  <c:y val="-0.13721701911488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5-45E4-925D-807B206F1490}"/>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_-* #,##0.0_-;\-* #,##0.0_-;_-* "-"??_-;_-@_-</c:formatCode>
                <c:ptCount val="6"/>
                <c:pt idx="0">
                  <c:v>7.230133261633398</c:v>
                </c:pt>
                <c:pt idx="1">
                  <c:v>15.177351372199176</c:v>
                </c:pt>
                <c:pt idx="2">
                  <c:v>17.795837484653056</c:v>
                </c:pt>
                <c:pt idx="3">
                  <c:v>11.966452242115322</c:v>
                </c:pt>
                <c:pt idx="4">
                  <c:v>13.367516951482351</c:v>
                </c:pt>
                <c:pt idx="5">
                  <c:v>14.681998693559816</c:v>
                </c:pt>
              </c:numCache>
            </c:numRef>
          </c:val>
          <c:smooth val="1"/>
          <c:extLst>
            <c:ext xmlns:c16="http://schemas.microsoft.com/office/drawing/2014/chart" uri="{C3380CC4-5D6E-409C-BE32-E72D297353CC}">
              <c16:uniqueId val="{00000000-6BF2-4B79-BA3C-8105E40095DF}"/>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3"/>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53163191810326027"/>
          <c:y val="0.90799248717763492"/>
          <c:w val="0.4267094486431775"/>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a:solidFill>
                  <a:sysClr val="windowText" lastClr="000000"/>
                </a:solidFill>
              </a:defRPr>
            </a:pPr>
            <a:r>
              <a:rPr lang="en-US" sz="1100" b="1" i="0" baseline="0">
                <a:effectLst/>
              </a:rPr>
              <a:t>Variación interanual acumulada a junio 2022*</a:t>
            </a:r>
            <a:endParaRPr lang="es-GT" sz="1100">
              <a:effectLst/>
            </a:endParaRPr>
          </a:p>
          <a:p>
            <a:pPr>
              <a:defRPr>
                <a:solidFill>
                  <a:sysClr val="windowText" lastClr="000000"/>
                </a:solidFill>
              </a:defRPr>
            </a:pPr>
            <a:r>
              <a:rPr lang="en-US" sz="1000" b="0" i="0" baseline="0">
                <a:effectLst/>
              </a:rPr>
              <a:t>En millones de Quetzales</a:t>
            </a:r>
            <a:endParaRPr lang="es-GT" sz="1000">
              <a:effectLst/>
            </a:endParaRPr>
          </a:p>
        </c:rich>
      </c:tx>
      <c:layout>
        <c:manualLayout>
          <c:xMode val="edge"/>
          <c:yMode val="edge"/>
          <c:x val="0.2653259193116324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2923166655450117"/>
          <c:w val="1"/>
          <c:h val="0.54464140700361174"/>
        </c:manualLayout>
      </c:layout>
      <c:barChart>
        <c:barDir val="col"/>
        <c:grouping val="clustered"/>
        <c:varyColors val="0"/>
        <c:ser>
          <c:idx val="0"/>
          <c:order val="0"/>
          <c:tx>
            <c:strRef>
              <c:f>Hoja1!$B$1</c:f>
              <c:strCache>
                <c:ptCount val="1"/>
                <c:pt idx="0">
                  <c:v>2022*</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F27A-4BCF-9CA4-4AFC2CE6DAEE}"/>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F27A-4BCF-9CA4-4AFC2CE6DAEE}"/>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7A-4BCF-9CA4-4AFC2CE6DAEE}"/>
                </c:ext>
              </c:extLst>
            </c:dLbl>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Donaciones </c:v>
                </c:pt>
                <c:pt idx="2">
                  <c:v>Subsidios </c:v>
                </c:pt>
                <c:pt idx="3">
                  <c:v>Otros gastos </c:v>
                </c:pt>
                <c:pt idx="4">
                  <c:v>Remuneración a los empleados </c:v>
                </c:pt>
                <c:pt idx="5">
                  <c:v>Intereses </c:v>
                </c:pt>
                <c:pt idx="6">
                  <c:v>Prestaciones sociales </c:v>
                </c:pt>
                <c:pt idx="7">
                  <c:v>Uso de bienes y servicios  </c:v>
                </c:pt>
              </c:strCache>
            </c:strRef>
          </c:cat>
          <c:val>
            <c:numRef>
              <c:f>Hoja1!$B$2:$B$9</c:f>
              <c:numCache>
                <c:formatCode>#,##0.0_ ;[Red]\-#,##0.0\ </c:formatCode>
                <c:ptCount val="8"/>
                <c:pt idx="0">
                  <c:v>5786.060252150005</c:v>
                </c:pt>
                <c:pt idx="1">
                  <c:v>2049.6056852700003</c:v>
                </c:pt>
                <c:pt idx="2">
                  <c:v>1497.3749910700001</c:v>
                </c:pt>
                <c:pt idx="3">
                  <c:v>887.91943017999984</c:v>
                </c:pt>
                <c:pt idx="4">
                  <c:v>631.91539683000155</c:v>
                </c:pt>
                <c:pt idx="5">
                  <c:v>303.23495451000144</c:v>
                </c:pt>
                <c:pt idx="6">
                  <c:v>227.01139515000068</c:v>
                </c:pt>
                <c:pt idx="7">
                  <c:v>188.99839914000131</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9-F27A-4BCF-9CA4-4AFC2CE6DAEE}"/>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a:pPr>
            <a:r>
              <a:rPr lang="en-US" sz="1100" b="1" i="0" baseline="0">
                <a:solidFill>
                  <a:sysClr val="windowText" lastClr="000000"/>
                </a:solidFill>
                <a:effectLst/>
              </a:rPr>
              <a:t>Cifra acumulada a junio de cada año</a:t>
            </a:r>
            <a:endParaRPr lang="es-GT" sz="1100">
              <a:solidFill>
                <a:sysClr val="windowText" lastClr="000000"/>
              </a:solidFill>
              <a:effectLst/>
            </a:endParaRPr>
          </a:p>
          <a:p>
            <a:pPr>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5355690345915479"/>
          <c:w val="1"/>
          <c:h val="0.71025866108731395"/>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2022*</c:v>
                </c:pt>
                <c:pt idx="1">
                  <c:v>2021</c:v>
                </c:pt>
                <c:pt idx="2">
                  <c:v>2020</c:v>
                </c:pt>
                <c:pt idx="3">
                  <c:v>2019</c:v>
                </c:pt>
                <c:pt idx="4">
                  <c:v>2018</c:v>
                </c:pt>
              </c:strCache>
            </c:strRef>
          </c:cat>
          <c:val>
            <c:numRef>
              <c:f>Hoja1!$B$2:$F$2</c:f>
              <c:numCache>
                <c:formatCode>#,##0.0_ ;[Red]\-#,##0.0\ </c:formatCode>
                <c:ptCount val="5"/>
                <c:pt idx="0">
                  <c:v>1752.7814587100002</c:v>
                </c:pt>
                <c:pt idx="1">
                  <c:v>1430.6635600900001</c:v>
                </c:pt>
                <c:pt idx="2">
                  <c:v>1347.6265907699999</c:v>
                </c:pt>
                <c:pt idx="3">
                  <c:v>2053.41872044</c:v>
                </c:pt>
                <c:pt idx="4">
                  <c:v>984.92930913000009</c:v>
                </c:pt>
              </c:numCache>
            </c:numRef>
          </c:val>
          <c:extLst>
            <c:ext xmlns:c16="http://schemas.microsoft.com/office/drawing/2014/chart" uri="{C3380CC4-5D6E-409C-BE32-E72D297353CC}">
              <c16:uniqueId val="{00000000-DA71-44C7-96E0-50CBD3BBB971}"/>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majorGridlines>
          <c:spPr>
            <a:ln w="9525" cap="flat" cmpd="sng" algn="ctr">
              <a:solidFill>
                <a:schemeClr val="dk1">
                  <a:lumMod val="15000"/>
                  <a:lumOff val="85000"/>
                </a:schemeClr>
              </a:solidFill>
              <a:round/>
            </a:ln>
            <a:effectLst/>
          </c:spPr>
        </c:majorGridlines>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685116851168512"/>
          <c:w val="1"/>
          <c:h val="0.59446679050900442"/>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spPr>
              <a:solidFill>
                <a:srgbClr val="9BBB59"/>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2F5A-4516-A758-482FB4948230}"/>
              </c:ext>
            </c:extLst>
          </c:dPt>
          <c:dPt>
            <c:idx val="6"/>
            <c:invertIfNegative val="0"/>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solidFill>
                <a:srgbClr val="9BBB59"/>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A-7D05-40F5-B5EB-0F479E5F8AF4}"/>
              </c:ext>
            </c:extLst>
          </c:dPt>
          <c:dPt>
            <c:idx val="12"/>
            <c:invertIfNegative val="1"/>
            <c:bubble3D val="0"/>
            <c:spPr>
              <a:solidFill>
                <a:srgbClr val="17375E"/>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D50-4E40-8B03-F23CCCAC8D6F}"/>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A-4516-A758-482FB49482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5A-4516-A758-482FB49482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5A-4516-A758-482FB4948230}"/>
                </c:ext>
              </c:extLst>
            </c:dLbl>
            <c:dLbl>
              <c:idx val="3"/>
              <c:layout>
                <c:manualLayout>
                  <c:x val="-3.5632889305245458E-17"/>
                  <c:y val="-3.9385584875935409E-2"/>
                </c:manualLayout>
              </c:layout>
              <c:numFmt formatCode="#,##0.0_ ;[Red]\-#,##0.0\ "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A-4516-A758-482FB494823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85-4700-B38B-76B949A323CB}"/>
                </c:ext>
              </c:extLst>
            </c:dLbl>
            <c:dLbl>
              <c:idx val="5"/>
              <c:layout>
                <c:manualLayout>
                  <c:x val="0"/>
                  <c:y val="-2.3631350925561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85-4700-B38B-76B949A323C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dLbl>
              <c:idx val="7"/>
              <c:layout>
                <c:manualLayout>
                  <c:x val="0"/>
                  <c:y val="1.8450184501845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05-40F5-B5EB-0F479E5F8AF4}"/>
                </c:ext>
              </c:extLst>
            </c:dLbl>
            <c:dLbl>
              <c:idx val="8"/>
              <c:layout>
                <c:manualLayout>
                  <c:x val="4.4632894443203007E-3"/>
                  <c:y val="-6.8903064942797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05-40F5-B5EB-0F479E5F8AF4}"/>
                </c:ext>
              </c:extLst>
            </c:dLbl>
            <c:dLbl>
              <c:idx val="9"/>
              <c:layout>
                <c:manualLayout>
                  <c:x val="-1.6365205576923713E-16"/>
                  <c:y val="-2.46002460024600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05-40F5-B5EB-0F479E5F8AF4}"/>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0-4E40-8B03-F23CCCAC8D6F}"/>
                </c:ext>
              </c:extLst>
            </c:dLbl>
            <c:dLbl>
              <c:idx val="12"/>
              <c:layout>
                <c:manualLayout>
                  <c:x val="0"/>
                  <c:y val="-3.7815844776297011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50-4E40-8B03-F23CCCAC8D6F}"/>
                </c:ext>
              </c:extLst>
            </c:dLbl>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#,##0.00</c:formatCode>
                <c:ptCount val="7"/>
                <c:pt idx="0">
                  <c:v>841.76905004000002</c:v>
                </c:pt>
                <c:pt idx="1">
                  <c:v>-545.51331917000005</c:v>
                </c:pt>
                <c:pt idx="2">
                  <c:v>2225.95786757</c:v>
                </c:pt>
                <c:pt idx="3">
                  <c:v>-725.41823361999991</c:v>
                </c:pt>
                <c:pt idx="4">
                  <c:v>1422.5806041199999</c:v>
                </c:pt>
                <c:pt idx="5">
                  <c:v>-4526.40441113</c:v>
                </c:pt>
                <c:pt idx="6">
                  <c:v>-1307.0284421899996</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in val="-5500"/>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b="1">
                <a:solidFill>
                  <a:schemeClr val="tx1"/>
                </a:solidFill>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29054060821902561"/>
          <c:w val="0.58235517958024763"/>
          <c:h val="0.55354608942433436"/>
        </c:manualLayout>
      </c:layout>
      <c:pieChart>
        <c:varyColors val="1"/>
        <c:ser>
          <c:idx val="0"/>
          <c:order val="0"/>
          <c:tx>
            <c:strRef>
              <c:f>Hoja1!$B$1</c:f>
              <c:strCache>
                <c:ptCount val="1"/>
                <c:pt idx="0">
                  <c:v>Junio</c:v>
                </c:pt>
              </c:strCache>
            </c:strRef>
          </c:tx>
          <c:spPr>
            <a:ln>
              <a:solidFill>
                <a:schemeClr val="tx1"/>
              </a:solidFill>
            </a:ln>
            <a:effectLst>
              <a:outerShdw blurRad="50800" dist="38100" dir="18900000" algn="bl" rotWithShape="0">
                <a:prstClr val="black">
                  <a:alpha val="40000"/>
                </a:prstClr>
              </a:outerShdw>
            </a:effectLst>
          </c:spPr>
          <c:explosion val="2"/>
          <c:dPt>
            <c:idx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7F2-407C-BE81-289EFBC09B14}"/>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77F2-407C-BE81-289EFBC09B14}"/>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1B77-4057-BDEF-713810EFA7DF}"/>
              </c:ext>
            </c:extLst>
          </c:dPt>
          <c:dLbls>
            <c:dLbl>
              <c:idx val="0"/>
              <c:layout>
                <c:manualLayout>
                  <c:x val="0.4091726917034999"/>
                  <c:y val="-0.267791067759509"/>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051468938129946"/>
                      <c:h val="0.17450896376468841"/>
                    </c:manualLayout>
                  </c15:layout>
                </c:ext>
                <c:ext xmlns:c16="http://schemas.microsoft.com/office/drawing/2014/chart" uri="{C3380CC4-5D6E-409C-BE32-E72D297353CC}">
                  <c16:uniqueId val="{00000001-77F2-407C-BE81-289EFBC09B14}"/>
                </c:ext>
              </c:extLst>
            </c:dLbl>
            <c:dLbl>
              <c:idx val="1"/>
              <c:layout>
                <c:manualLayout>
                  <c:x val="0.11049771194957517"/>
                  <c:y val="1.2129968262210545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5767096956746571"/>
                      <c:h val="0.23427636497114948"/>
                    </c:manualLayout>
                  </c15:layout>
                </c:ext>
                <c:ext xmlns:c16="http://schemas.microsoft.com/office/drawing/2014/chart" uri="{C3380CC4-5D6E-409C-BE32-E72D297353CC}">
                  <c16:uniqueId val="{00000003-77F2-407C-BE81-289EFBC09B14}"/>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1B77-4057-BDEF-713810EFA7D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-1298.3611222800005</c:v>
                </c:pt>
                <c:pt idx="1">
                  <c:v>-8.6673199100000033</c:v>
                </c:pt>
              </c:numCache>
            </c:numRef>
          </c:val>
          <c:extLst>
            <c:ext xmlns:c16="http://schemas.microsoft.com/office/drawing/2014/chart" uri="{C3380CC4-5D6E-409C-BE32-E72D297353CC}">
              <c16:uniqueId val="{00000004-77F2-407C-BE81-289EFBC09B14}"/>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spPr>
              <a:solidFill>
                <a:schemeClr val="tx2"/>
              </a:solidFill>
              <a:ln w="15875">
                <a:solidFill>
                  <a:schemeClr val="tx1"/>
                </a:solidFill>
              </a:ln>
              <a:effectLst/>
            </c:spPr>
            <c:extLst>
              <c:ext xmlns:c16="http://schemas.microsoft.com/office/drawing/2014/chart" uri="{C3380CC4-5D6E-409C-BE32-E72D297353CC}">
                <c16:uniqueId val="{00000001-2F5A-4516-A758-482FB4948230}"/>
              </c:ext>
            </c:extLst>
          </c:dPt>
          <c:dPt>
            <c:idx val="6"/>
            <c:invertIfNegative val="0"/>
            <c:bubble3D val="0"/>
            <c:spPr>
              <a:solidFill>
                <a:schemeClr val="tx2"/>
              </a:solidFill>
              <a:ln w="19050">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noFill/>
              <a:ln w="28575">
                <a:noFill/>
              </a:ln>
              <a:effectLst/>
            </c:spPr>
            <c:extLst>
              <c:ext xmlns:c16="http://schemas.microsoft.com/office/drawing/2014/chart" uri="{C3380CC4-5D6E-409C-BE32-E72D297353CC}">
                <c16:uniqueId val="{0000000A-7D05-40F5-B5EB-0F479E5F8AF4}"/>
              </c:ext>
            </c:extLst>
          </c:dPt>
          <c:dPt>
            <c:idx val="12"/>
            <c:invertIfNegative val="0"/>
            <c:bubble3D val="0"/>
            <c:spPr>
              <a:solidFill>
                <a:schemeClr val="tx2">
                  <a:lumMod val="75000"/>
                </a:schemeClr>
              </a:solidFill>
              <a:ln>
                <a:solidFill>
                  <a:schemeClr val="tx1"/>
                </a:solidFill>
              </a:ln>
              <a:effectLst/>
            </c:spPr>
            <c:extLst>
              <c:ext xmlns:c16="http://schemas.microsoft.com/office/drawing/2014/chart" uri="{C3380CC4-5D6E-409C-BE32-E72D297353CC}">
                <c16:uniqueId val="{0000000E-4B4C-4485-8C79-904533380089}"/>
              </c:ext>
            </c:extLst>
          </c:dPt>
          <c:dLbls>
            <c:dLbl>
              <c:idx val="6"/>
              <c:layout>
                <c:manualLayout>
                  <c:x val="0"/>
                  <c:y val="-1.291974528688696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Hoja1!$B$1:$H$1</c:f>
              <c:strCache>
                <c:ptCount val="7"/>
                <c:pt idx="0">
                  <c:v>Enero</c:v>
                </c:pt>
                <c:pt idx="1">
                  <c:v>Febrero</c:v>
                </c:pt>
                <c:pt idx="2">
                  <c:v>Marzo</c:v>
                </c:pt>
                <c:pt idx="3">
                  <c:v>Abril</c:v>
                </c:pt>
                <c:pt idx="4">
                  <c:v>Mayo</c:v>
                </c:pt>
                <c:pt idx="5">
                  <c:v>Junio</c:v>
                </c:pt>
                <c:pt idx="6">
                  <c:v>Total</c:v>
                </c:pt>
              </c:strCache>
            </c:strRef>
          </c:cat>
          <c:val>
            <c:numRef>
              <c:f>Hoja1!$B$2:$H$2</c:f>
              <c:numCache>
                <c:formatCode>_-* #,##0.0_-;\-* #,##0.0_-;_-* "-"??_-;_-@_-</c:formatCode>
                <c:ptCount val="7"/>
                <c:pt idx="0">
                  <c:v>-256.09263447000001</c:v>
                </c:pt>
                <c:pt idx="1">
                  <c:v>-385.85445920000006</c:v>
                </c:pt>
                <c:pt idx="2">
                  <c:v>3074.4220223799998</c:v>
                </c:pt>
                <c:pt idx="3">
                  <c:v>-44.828710180000051</c:v>
                </c:pt>
                <c:pt idx="4">
                  <c:v>757.96052078999992</c:v>
                </c:pt>
                <c:pt idx="5">
                  <c:v>2088.6102218599999</c:v>
                </c:pt>
                <c:pt idx="6">
                  <c:v>5234.21696118</c:v>
                </c:pt>
              </c:numCache>
            </c:numRef>
          </c:val>
          <c:extLs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6-2F5A-4516-A758-482FB4948230}"/>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7-2F5A-4516-A758-482FB4948230}"/>
              </c:ext>
            </c:extLst>
          </c:dPt>
          <c:dPt>
            <c:idx val="2"/>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2F5A-4516-A758-482FB4948230}"/>
              </c:ext>
            </c:extLst>
          </c:dPt>
          <c:dPt>
            <c:idx val="3"/>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2F5A-4516-A758-482FB4948230}"/>
              </c:ext>
            </c:extLst>
          </c:dPt>
          <c:dPt>
            <c:idx val="6"/>
            <c:marker>
              <c:symbol val="circle"/>
              <c:size val="21"/>
              <c:spPr>
                <a:solidFill>
                  <a:schemeClr val="accent6">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25C3-47FC-B730-F6F202BC7A43}"/>
              </c:ext>
            </c:extLst>
          </c:dPt>
          <c:dPt>
            <c:idx val="7"/>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F6D3-4EB8-9B49-CA9F7FE069D8}"/>
              </c:ext>
            </c:extLst>
          </c:dPt>
          <c:dPt>
            <c:idx val="1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5747-4A62-803A-FE837A96875E}"/>
              </c:ext>
            </c:extLst>
          </c:dPt>
          <c:dLbls>
            <c:dLbl>
              <c:idx val="12"/>
              <c:delete val="1"/>
              <c:extLst>
                <c:ext xmlns:c15="http://schemas.microsoft.com/office/drawing/2012/chart" uri="{CE6537A1-D6FC-4f65-9D91-7224C49458BB}"/>
                <c:ext xmlns:c16="http://schemas.microsoft.com/office/drawing/2014/chart" uri="{C3380CC4-5D6E-409C-BE32-E72D297353CC}">
                  <c16:uniqueId val="{0000000D-8631-45BD-9BD9-751B826219A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Hoja1!$B$1:$H$1</c:f>
              <c:strCache>
                <c:ptCount val="7"/>
                <c:pt idx="0">
                  <c:v>Enero</c:v>
                </c:pt>
                <c:pt idx="1">
                  <c:v>Febrero</c:v>
                </c:pt>
                <c:pt idx="2">
                  <c:v>Marzo</c:v>
                </c:pt>
                <c:pt idx="3">
                  <c:v>Abril</c:v>
                </c:pt>
                <c:pt idx="4">
                  <c:v>Mayo</c:v>
                </c:pt>
                <c:pt idx="5">
                  <c:v>Junio</c:v>
                </c:pt>
                <c:pt idx="6">
                  <c:v>Total</c:v>
                </c:pt>
              </c:strCache>
            </c:strRef>
          </c:cat>
          <c:val>
            <c:numRef>
              <c:f>Hoja1!$B$3:$H$3</c:f>
              <c:numCache>
                <c:formatCode>_-* #,##0.0_-;\-* #,##0.0_-;_-* "-"??_-;_-@_-</c:formatCode>
                <c:ptCount val="7"/>
                <c:pt idx="0">
                  <c:v>-256.09263447000001</c:v>
                </c:pt>
                <c:pt idx="1">
                  <c:v>-385.85445920000006</c:v>
                </c:pt>
                <c:pt idx="2">
                  <c:v>3074.4220223799998</c:v>
                </c:pt>
                <c:pt idx="3">
                  <c:v>-44.828710180000051</c:v>
                </c:pt>
                <c:pt idx="4">
                  <c:v>757.96052078999992</c:v>
                </c:pt>
                <c:pt idx="5">
                  <c:v>2088.6102218599999</c:v>
                </c:pt>
              </c:numCache>
            </c:numRef>
          </c:val>
          <c:smooth val="0"/>
          <c:extLst>
            <c:ext xmlns:c16="http://schemas.microsoft.com/office/drawing/2014/chart" uri="{C3380CC4-5D6E-409C-BE32-E72D297353CC}">
              <c16:uniqueId val="{0000000B-2F5A-4516-A758-482FB4948230}"/>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5"/>
          <a:ext cx="1379380" cy="14759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40"/>
        <a:ext cx="1364970" cy="1331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0.84726</cdr:y>
    </cdr:from>
    <cdr:to>
      <cdr:x>1</cdr:x>
      <cdr:y>0.983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579899" y="1617794"/>
          <a:ext cx="1097896" cy="259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0.19655</cdr:x>
      <cdr:y>0.90136</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608320" y="3461657"/>
          <a:ext cx="2486670" cy="3788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1/ 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0.51268</cdr:x>
      <cdr:y>0.79387</cdr:y>
    </cdr:from>
    <cdr:to>
      <cdr:x>0.96308</cdr:x>
      <cdr:y>0.79387</cdr:y>
    </cdr:to>
    <cdr:cxnSp macro="">
      <cdr:nvCxnSpPr>
        <cdr:cNvPr id="3" name="Conector recto 2"/>
        <cdr:cNvCxnSpPr/>
      </cdr:nvCxnSpPr>
      <cdr:spPr>
        <a:xfrm xmlns:a="http://schemas.openxmlformats.org/drawingml/2006/main">
          <a:off x="1564600" y="3371480"/>
          <a:ext cx="1374543"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0.66485</cdr:x>
      <cdr:y>0.93199</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2028996" y="3958046"/>
          <a:ext cx="1022814" cy="2888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0.86239</cdr:y>
    </cdr:from>
    <cdr:to>
      <cdr:x>0.45183</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1790700"/>
          <a:ext cx="1295400"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0.12643</cdr:x>
      <cdr:y>0.23504</cdr:y>
    </cdr:from>
    <cdr:to>
      <cdr:x>0.12643</cdr:x>
      <cdr:y>0.84007</cdr:y>
    </cdr:to>
    <cdr:cxnSp macro="">
      <cdr:nvCxnSpPr>
        <cdr:cNvPr id="3" name="Conector recto 2"/>
        <cdr:cNvCxnSpPr/>
      </cdr:nvCxnSpPr>
      <cdr:spPr>
        <a:xfrm xmlns:a="http://schemas.openxmlformats.org/drawingml/2006/main">
          <a:off x="753617" y="523875"/>
          <a:ext cx="0" cy="1348515"/>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0.58965</cdr:x>
      <cdr:y>0.87179</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514725" y="1943100"/>
          <a:ext cx="244602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0.82197</cdr:x>
      <cdr:y>0.9139</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09041" y="3461657"/>
          <a:ext cx="1019929" cy="3261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0.8816</cdr:x>
      <cdr:y>0.12617</cdr:y>
    </cdr:from>
    <cdr:to>
      <cdr:x>0.8816</cdr:x>
      <cdr:y>0.71383</cdr:y>
    </cdr:to>
    <cdr:cxnSp macro="">
      <cdr:nvCxnSpPr>
        <cdr:cNvPr id="4" name="Conector recto 3"/>
        <cdr:cNvCxnSpPr/>
      </cdr:nvCxnSpPr>
      <cdr:spPr>
        <a:xfrm xmlns:a="http://schemas.openxmlformats.org/drawingml/2006/main">
          <a:off x="2880238" y="282967"/>
          <a:ext cx="0" cy="1318015"/>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0.88345</cdr:x>
      <cdr:y>0.08609</cdr:y>
    </cdr:from>
    <cdr:to>
      <cdr:x>0.88707</cdr:x>
      <cdr:y>0.6115</cdr:y>
    </cdr:to>
    <cdr:cxnSp macro="">
      <cdr:nvCxnSpPr>
        <cdr:cNvPr id="3" name="Conector recto 2"/>
        <cdr:cNvCxnSpPr/>
      </cdr:nvCxnSpPr>
      <cdr:spPr>
        <a:xfrm xmlns:a="http://schemas.openxmlformats.org/drawingml/2006/main" flipH="1">
          <a:off x="3180806" y="189411"/>
          <a:ext cx="13062" cy="1156063"/>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cdr:x>
      <cdr:y>0.85052</cdr:y>
    </cdr:from>
    <cdr:to>
      <cdr:x>0.3026</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0" y="1570007"/>
          <a:ext cx="1019929" cy="2759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0.0067</cdr:x>
      <cdr:y>0.90669</cdr:y>
    </cdr:from>
    <cdr:to>
      <cdr:x>0.1926</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9738" y="3057208"/>
          <a:ext cx="1103262" cy="3146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B47F-8224-4013-8EE9-B6C68F0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Pages>
  <Words>2814</Words>
  <Characters>15481</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18259</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Segundo Trimestre</dc:subject>
  <dc:creator>DAPF</dc:creator>
  <cp:keywords/>
  <dc:description/>
  <cp:lastModifiedBy>Carlos Herrera</cp:lastModifiedBy>
  <cp:revision>28</cp:revision>
  <cp:lastPrinted>2022-08-01T15:23:00Z</cp:lastPrinted>
  <dcterms:created xsi:type="dcterms:W3CDTF">2022-07-28T18:32:00Z</dcterms:created>
  <dcterms:modified xsi:type="dcterms:W3CDTF">2022-08-01T15:23:00Z</dcterms:modified>
  <cp:category>Ministerio de Finanzas Públicas</cp:category>
</cp:coreProperties>
</file>